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44"/>
        </w:rPr>
      </w:pPr>
      <w:r>
        <w:rPr>
          <w:rFonts w:hint="eastAsia" w:ascii="宋体" w:hAnsi="宋体" w:eastAsia="宋体" w:cs="宋体"/>
          <w:b/>
          <w:sz w:val="44"/>
        </w:rPr>
        <w:t>厦门市</w:t>
      </w:r>
      <w:r>
        <w:rPr>
          <w:rFonts w:hint="eastAsia" w:ascii="宋体" w:hAnsi="宋体" w:eastAsia="宋体" w:cs="宋体"/>
          <w:b/>
          <w:sz w:val="44"/>
          <w:lang w:val="en-US" w:eastAsia="zh-CN"/>
        </w:rPr>
        <w:t>2024</w:t>
      </w:r>
      <w:r>
        <w:rPr>
          <w:rFonts w:hint="eastAsia" w:ascii="宋体" w:hAnsi="宋体" w:eastAsia="宋体" w:cs="宋体"/>
          <w:b/>
          <w:sz w:val="44"/>
        </w:rPr>
        <w:t>年度火炬统计调查</w:t>
      </w:r>
    </w:p>
    <w:p>
      <w:pPr>
        <w:jc w:val="center"/>
        <w:rPr>
          <w:rFonts w:hint="eastAsia" w:ascii="宋体" w:hAnsi="宋体" w:eastAsia="宋体" w:cs="宋体"/>
          <w:b/>
          <w:sz w:val="44"/>
        </w:rPr>
      </w:pPr>
      <w:r>
        <w:rPr>
          <w:rFonts w:hint="eastAsia" w:ascii="宋体" w:hAnsi="宋体" w:eastAsia="宋体" w:cs="宋体"/>
          <w:b/>
          <w:sz w:val="44"/>
        </w:rPr>
        <w:t>暨高企统计工作会议</w:t>
      </w:r>
    </w:p>
    <w:p>
      <w:pPr>
        <w:jc w:val="center"/>
        <w:rPr>
          <w:rFonts w:hint="eastAsia" w:ascii="宋体" w:hAnsi="宋体" w:eastAsia="宋体" w:cs="宋体"/>
          <w:b/>
          <w:sz w:val="44"/>
        </w:rPr>
      </w:pPr>
    </w:p>
    <w:p>
      <w:pPr>
        <w:jc w:val="center"/>
        <w:rPr>
          <w:rFonts w:hint="eastAsia" w:ascii="宋体" w:hAnsi="宋体" w:eastAsia="宋体" w:cs="宋体"/>
          <w:b/>
          <w:sz w:val="44"/>
        </w:rPr>
      </w:pPr>
    </w:p>
    <w:p>
      <w:pPr>
        <w:jc w:val="center"/>
        <w:rPr>
          <w:rFonts w:hint="eastAsia" w:ascii="宋体" w:hAnsi="宋体" w:eastAsia="宋体" w:cs="宋体"/>
          <w:b/>
          <w:sz w:val="44"/>
        </w:rPr>
      </w:pPr>
    </w:p>
    <w:p>
      <w:pPr>
        <w:jc w:val="center"/>
        <w:rPr>
          <w:rFonts w:hint="eastAsia" w:ascii="宋体" w:hAnsi="宋体" w:eastAsia="宋体" w:cs="宋体"/>
          <w:b/>
          <w:sz w:val="44"/>
        </w:rPr>
      </w:pPr>
      <w:bookmarkStart w:id="43" w:name="_GoBack"/>
      <w:bookmarkEnd w:id="43"/>
    </w:p>
    <w:p>
      <w:pPr>
        <w:jc w:val="center"/>
        <w:rPr>
          <w:rFonts w:hint="eastAsia" w:ascii="宋体" w:hAnsi="宋体" w:eastAsia="宋体" w:cs="宋体"/>
          <w:b/>
          <w:sz w:val="72"/>
          <w:szCs w:val="72"/>
        </w:rPr>
      </w:pPr>
      <w:r>
        <w:rPr>
          <w:rFonts w:hint="eastAsia" w:ascii="宋体" w:hAnsi="宋体" w:eastAsia="宋体" w:cs="宋体"/>
          <w:b/>
          <w:sz w:val="72"/>
          <w:szCs w:val="72"/>
        </w:rPr>
        <w:t>会</w:t>
      </w:r>
    </w:p>
    <w:p>
      <w:pPr>
        <w:jc w:val="center"/>
        <w:rPr>
          <w:rFonts w:hint="eastAsia" w:ascii="宋体" w:hAnsi="宋体" w:eastAsia="宋体" w:cs="宋体"/>
          <w:b/>
          <w:sz w:val="72"/>
          <w:szCs w:val="72"/>
        </w:rPr>
      </w:pPr>
      <w:r>
        <w:rPr>
          <w:rFonts w:hint="eastAsia" w:ascii="宋体" w:hAnsi="宋体" w:eastAsia="宋体" w:cs="宋体"/>
          <w:b/>
          <w:sz w:val="72"/>
          <w:szCs w:val="72"/>
        </w:rPr>
        <w:t>议</w:t>
      </w:r>
    </w:p>
    <w:p>
      <w:pPr>
        <w:jc w:val="center"/>
        <w:rPr>
          <w:rFonts w:hint="eastAsia" w:ascii="宋体" w:hAnsi="宋体" w:eastAsia="宋体" w:cs="宋体"/>
          <w:b/>
          <w:sz w:val="72"/>
          <w:szCs w:val="72"/>
        </w:rPr>
      </w:pPr>
      <w:r>
        <w:rPr>
          <w:rFonts w:hint="eastAsia" w:ascii="宋体" w:hAnsi="宋体" w:eastAsia="宋体" w:cs="宋体"/>
          <w:b/>
          <w:sz w:val="72"/>
          <w:szCs w:val="72"/>
        </w:rPr>
        <w:t>材</w:t>
      </w:r>
    </w:p>
    <w:p>
      <w:pPr>
        <w:jc w:val="center"/>
        <w:rPr>
          <w:rFonts w:hint="eastAsia" w:ascii="宋体" w:hAnsi="宋体" w:eastAsia="宋体" w:cs="宋体"/>
          <w:b/>
          <w:sz w:val="72"/>
          <w:szCs w:val="72"/>
        </w:rPr>
      </w:pPr>
      <w:r>
        <w:rPr>
          <w:rFonts w:hint="eastAsia" w:ascii="宋体" w:hAnsi="宋体" w:eastAsia="宋体" w:cs="宋体"/>
          <w:b/>
          <w:sz w:val="72"/>
          <w:szCs w:val="72"/>
        </w:rPr>
        <w:t>料</w:t>
      </w:r>
    </w:p>
    <w:p>
      <w:pPr>
        <w:jc w:val="center"/>
        <w:rPr>
          <w:rFonts w:hint="eastAsia" w:ascii="宋体" w:hAnsi="宋体" w:eastAsia="宋体" w:cs="宋体"/>
          <w:b/>
          <w:sz w:val="44"/>
        </w:rPr>
      </w:pPr>
    </w:p>
    <w:p>
      <w:pPr>
        <w:jc w:val="center"/>
        <w:rPr>
          <w:rFonts w:hint="eastAsia" w:ascii="宋体" w:hAnsi="宋体" w:eastAsia="宋体" w:cs="宋体"/>
          <w:b/>
          <w:sz w:val="44"/>
        </w:rPr>
      </w:pPr>
    </w:p>
    <w:p>
      <w:pPr>
        <w:jc w:val="center"/>
        <w:rPr>
          <w:rFonts w:hint="eastAsia" w:ascii="宋体" w:hAnsi="宋体" w:eastAsia="宋体" w:cs="宋体"/>
          <w:b/>
          <w:sz w:val="44"/>
        </w:rPr>
      </w:pPr>
    </w:p>
    <w:p>
      <w:pPr>
        <w:jc w:val="center"/>
        <w:rPr>
          <w:rFonts w:hint="eastAsia" w:ascii="宋体" w:hAnsi="宋体" w:eastAsia="宋体" w:cs="宋体"/>
          <w:b/>
          <w:sz w:val="44"/>
        </w:rPr>
      </w:pPr>
    </w:p>
    <w:p>
      <w:pPr>
        <w:jc w:val="center"/>
        <w:rPr>
          <w:rFonts w:hint="eastAsia" w:ascii="宋体" w:hAnsi="宋体" w:eastAsia="宋体" w:cs="宋体"/>
          <w:b/>
          <w:sz w:val="44"/>
        </w:rPr>
      </w:pPr>
    </w:p>
    <w:p>
      <w:pPr>
        <w:jc w:val="center"/>
        <w:rPr>
          <w:rFonts w:hint="eastAsia" w:ascii="宋体" w:hAnsi="宋体" w:eastAsia="宋体" w:cs="宋体"/>
          <w:b/>
          <w:sz w:val="44"/>
        </w:rPr>
      </w:pPr>
    </w:p>
    <w:p>
      <w:pPr>
        <w:jc w:val="center"/>
        <w:rPr>
          <w:rFonts w:hint="eastAsia" w:ascii="宋体" w:hAnsi="宋体" w:eastAsia="宋体" w:cs="宋体"/>
          <w:b/>
          <w:sz w:val="44"/>
        </w:rPr>
      </w:pPr>
    </w:p>
    <w:p>
      <w:pPr>
        <w:jc w:val="center"/>
        <w:rPr>
          <w:rFonts w:hint="eastAsia" w:ascii="宋体" w:hAnsi="宋体" w:eastAsia="宋体" w:cs="宋体"/>
          <w:b/>
          <w:sz w:val="44"/>
        </w:rPr>
      </w:pPr>
    </w:p>
    <w:p>
      <w:pPr>
        <w:jc w:val="center"/>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t>厦门市高新技术企业认定管理办公室</w:t>
      </w:r>
    </w:p>
    <w:p>
      <w:pPr>
        <w:keepNext w:val="0"/>
        <w:keepLines w:val="0"/>
        <w:pageBreakBefore w:val="0"/>
        <w:widowControl w:val="0"/>
        <w:kinsoku/>
        <w:wordWrap/>
        <w:overflowPunct/>
        <w:topLinePunct w:val="0"/>
        <w:autoSpaceDE/>
        <w:autoSpaceDN/>
        <w:bidi w:val="0"/>
        <w:adjustRightInd/>
        <w:snapToGrid/>
        <w:spacing w:after="313" w:afterLines="100" w:line="480" w:lineRule="auto"/>
        <w:jc w:val="center"/>
        <w:textAlignment w:val="auto"/>
        <w:rPr>
          <w:rFonts w:hint="eastAsia" w:ascii="宋体" w:hAnsi="宋体" w:eastAsia="宋体" w:cs="宋体"/>
          <w:b/>
          <w:sz w:val="30"/>
          <w:szCs w:val="30"/>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sz w:val="30"/>
          <w:szCs w:val="30"/>
          <w:lang w:val="en-US" w:eastAsia="zh-CN"/>
        </w:rPr>
        <w:t>2025年2月</w:t>
      </w:r>
    </w:p>
    <w:p>
      <w:pPr>
        <w:keepNext w:val="0"/>
        <w:keepLines w:val="0"/>
        <w:pageBreakBefore w:val="0"/>
        <w:widowControl w:val="0"/>
        <w:kinsoku/>
        <w:wordWrap/>
        <w:overflowPunct/>
        <w:topLinePunct w:val="0"/>
        <w:autoSpaceDE/>
        <w:autoSpaceDN/>
        <w:bidi w:val="0"/>
        <w:adjustRightInd/>
        <w:snapToGrid/>
        <w:spacing w:after="313" w:afterLines="100" w:line="480" w:lineRule="auto"/>
        <w:jc w:val="center"/>
        <w:textAlignment w:val="auto"/>
        <w:rPr>
          <w:rFonts w:hint="eastAsia" w:ascii="宋体" w:hAnsi="宋体" w:eastAsia="宋体" w:cs="宋体"/>
          <w:b/>
          <w:sz w:val="44"/>
          <w:szCs w:val="44"/>
        </w:rPr>
      </w:pPr>
      <w:r>
        <w:rPr>
          <w:rFonts w:hint="eastAsia" w:ascii="宋体" w:hAnsi="宋体" w:eastAsia="宋体" w:cs="宋体"/>
          <w:b/>
          <w:sz w:val="44"/>
          <w:szCs w:val="44"/>
          <w:lang w:val="en-US" w:eastAsia="zh-CN"/>
        </w:rPr>
        <w:t>高新技术企业</w:t>
      </w:r>
      <w:r>
        <w:rPr>
          <w:rFonts w:hint="eastAsia" w:ascii="宋体" w:hAnsi="宋体" w:eastAsia="宋体" w:cs="宋体"/>
          <w:b/>
          <w:sz w:val="44"/>
          <w:szCs w:val="44"/>
        </w:rPr>
        <w:t>统计报表报送须知</w:t>
      </w:r>
    </w:p>
    <w:p>
      <w:pPr>
        <w:keepNext w:val="0"/>
        <w:keepLines w:val="0"/>
        <w:pageBreakBefore w:val="0"/>
        <w:widowControl w:val="0"/>
        <w:kinsoku/>
        <w:wordWrap/>
        <w:overflowPunct/>
        <w:topLinePunct w:val="0"/>
        <w:autoSpaceDE/>
        <w:autoSpaceDN/>
        <w:bidi w:val="0"/>
        <w:adjustRightInd/>
        <w:snapToGrid/>
        <w:spacing w:line="720" w:lineRule="auto"/>
        <w:jc w:val="both"/>
        <w:textAlignment w:val="auto"/>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一、相关统计报表及报送要求</w:t>
      </w:r>
    </w:p>
    <w:tbl>
      <w:tblPr>
        <w:tblStyle w:val="9"/>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133"/>
        <w:gridCol w:w="1275"/>
        <w:gridCol w:w="1791"/>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73" w:type="dxa"/>
            <w:noWrap w:val="0"/>
            <w:vAlign w:val="center"/>
          </w:tcPr>
          <w:p>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2133" w:type="dxa"/>
            <w:noWrap w:val="0"/>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报表内容</w:t>
            </w:r>
          </w:p>
        </w:tc>
        <w:tc>
          <w:tcPr>
            <w:tcW w:w="1275" w:type="dxa"/>
            <w:noWrap w:val="0"/>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报送时间</w:t>
            </w:r>
          </w:p>
        </w:tc>
        <w:tc>
          <w:tcPr>
            <w:tcW w:w="1791" w:type="dxa"/>
            <w:noWrap w:val="0"/>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报送单位</w:t>
            </w:r>
          </w:p>
        </w:tc>
        <w:tc>
          <w:tcPr>
            <w:tcW w:w="3216" w:type="dxa"/>
            <w:noWrap w:val="0"/>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673" w:type="dxa"/>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p>
        </w:tc>
        <w:tc>
          <w:tcPr>
            <w:tcW w:w="2133"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高新技术企业</w:t>
            </w:r>
            <w:r>
              <w:rPr>
                <w:rFonts w:hint="eastAsia" w:ascii="宋体" w:hAnsi="宋体" w:eastAsia="宋体" w:cs="宋体"/>
                <w:color w:val="auto"/>
                <w:sz w:val="21"/>
                <w:szCs w:val="21"/>
              </w:rPr>
              <w:t>月报表</w:t>
            </w:r>
            <w:r>
              <w:rPr>
                <w:rFonts w:hint="eastAsia" w:ascii="宋体" w:hAnsi="宋体" w:eastAsia="宋体" w:cs="宋体"/>
                <w:color w:val="auto"/>
                <w:sz w:val="21"/>
                <w:szCs w:val="21"/>
                <w:lang w:val="en-US" w:eastAsia="zh-CN"/>
              </w:rPr>
              <w:t>及年度快报表（厦门市高新技术企业科技创新月度统计报表K209-1，K209-2）</w:t>
            </w:r>
          </w:p>
        </w:tc>
        <w:tc>
          <w:tcPr>
            <w:tcW w:w="1275" w:type="dxa"/>
            <w:noWrap w:val="0"/>
            <w:vAlign w:val="center"/>
          </w:tcPr>
          <w:p>
            <w:pPr>
              <w:rPr>
                <w:rFonts w:hint="eastAsia" w:ascii="宋体" w:hAnsi="宋体" w:eastAsia="宋体" w:cs="宋体"/>
                <w:color w:val="auto"/>
                <w:sz w:val="21"/>
                <w:szCs w:val="21"/>
              </w:rPr>
            </w:pPr>
            <w:r>
              <w:rPr>
                <w:rFonts w:hint="eastAsia" w:ascii="宋体" w:hAnsi="宋体" w:eastAsia="宋体" w:cs="宋体"/>
                <w:b/>
                <w:color w:val="auto"/>
                <w:sz w:val="21"/>
                <w:szCs w:val="21"/>
              </w:rPr>
              <w:t>每个月5日前</w:t>
            </w:r>
          </w:p>
        </w:tc>
        <w:tc>
          <w:tcPr>
            <w:tcW w:w="1791" w:type="dxa"/>
            <w:noWrap w:val="0"/>
            <w:vAlign w:val="center"/>
          </w:tcPr>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所有</w:t>
            </w:r>
            <w:r>
              <w:rPr>
                <w:rFonts w:hint="eastAsia" w:ascii="宋体" w:hAnsi="宋体" w:eastAsia="宋体" w:cs="宋体"/>
                <w:color w:val="auto"/>
                <w:sz w:val="21"/>
                <w:szCs w:val="21"/>
                <w:lang w:val="en-US" w:eastAsia="zh-CN"/>
              </w:rPr>
              <w:t>国家级、市级</w:t>
            </w:r>
            <w:r>
              <w:rPr>
                <w:rFonts w:hint="eastAsia" w:ascii="宋体" w:hAnsi="宋体" w:eastAsia="宋体" w:cs="宋体"/>
                <w:color w:val="auto"/>
                <w:sz w:val="21"/>
                <w:szCs w:val="21"/>
              </w:rPr>
              <w:t>高新技术企业</w:t>
            </w:r>
          </w:p>
        </w:tc>
        <w:tc>
          <w:tcPr>
            <w:tcW w:w="3216"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lang w:val="en-US" w:eastAsia="zh-CN"/>
              </w:rPr>
              <w:t>登录厦门市科技局统计直报系统（</w:t>
            </w:r>
            <w:r>
              <w:rPr>
                <w:rFonts w:hint="eastAsia" w:ascii="宋体" w:hAnsi="宋体" w:eastAsia="宋体" w:cs="宋体"/>
                <w:b w:val="0"/>
                <w:bCs/>
                <w:color w:val="auto"/>
                <w:sz w:val="21"/>
                <w:szCs w:val="21"/>
                <w:u w:val="single"/>
                <w:lang w:val="en-US" w:eastAsia="zh-CN"/>
              </w:rPr>
              <w:t>http://112.48.134.37:8000</w:t>
            </w:r>
            <w:r>
              <w:rPr>
                <w:rFonts w:hint="eastAsia" w:ascii="宋体" w:hAnsi="宋体" w:eastAsia="宋体" w:cs="宋体"/>
                <w:b w:val="0"/>
                <w:bCs/>
                <w:color w:val="auto"/>
                <w:sz w:val="21"/>
                <w:szCs w:val="21"/>
                <w:lang w:val="en-US" w:eastAsia="zh-CN"/>
              </w:rPr>
              <w:t>）填报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4" w:hRule="atLeast"/>
          <w:jc w:val="center"/>
        </w:trPr>
        <w:tc>
          <w:tcPr>
            <w:tcW w:w="673"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133" w:type="dxa"/>
            <w:noWrap w:val="0"/>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国家高新区企业及区外高企统计年报表</w:t>
            </w:r>
          </w:p>
        </w:tc>
        <w:tc>
          <w:tcPr>
            <w:tcW w:w="1275" w:type="dxa"/>
            <w:noWrap w:val="0"/>
            <w:vAlign w:val="center"/>
          </w:tcPr>
          <w:p>
            <w:pPr>
              <w:rPr>
                <w:rFonts w:hint="eastAsia" w:ascii="宋体" w:hAnsi="宋体" w:eastAsia="宋体" w:cs="宋体"/>
                <w:color w:val="auto"/>
                <w:sz w:val="21"/>
                <w:szCs w:val="21"/>
              </w:rPr>
            </w:pPr>
            <w:r>
              <w:rPr>
                <w:rFonts w:hint="eastAsia" w:ascii="宋体" w:hAnsi="宋体" w:eastAsia="宋体" w:cs="宋体"/>
                <w:b/>
                <w:color w:val="auto"/>
                <w:sz w:val="21"/>
                <w:szCs w:val="21"/>
              </w:rPr>
              <w:t>20</w:t>
            </w:r>
            <w:r>
              <w:rPr>
                <w:rFonts w:hint="eastAsia" w:ascii="宋体" w:hAnsi="宋体" w:eastAsia="宋体" w:cs="宋体"/>
                <w:b/>
                <w:color w:val="auto"/>
                <w:sz w:val="21"/>
                <w:szCs w:val="21"/>
                <w:lang w:val="en-US" w:eastAsia="zh-CN"/>
              </w:rPr>
              <w:t>25</w:t>
            </w:r>
            <w:r>
              <w:rPr>
                <w:rFonts w:hint="eastAsia" w:ascii="宋体" w:hAnsi="宋体" w:eastAsia="宋体" w:cs="宋体"/>
                <w:b/>
                <w:color w:val="auto"/>
                <w:sz w:val="21"/>
                <w:szCs w:val="21"/>
              </w:rPr>
              <w:t>年3月</w:t>
            </w:r>
            <w:r>
              <w:rPr>
                <w:rFonts w:hint="eastAsia" w:ascii="宋体" w:hAnsi="宋体" w:eastAsia="宋体" w:cs="宋体"/>
                <w:b/>
                <w:color w:val="auto"/>
                <w:sz w:val="21"/>
                <w:szCs w:val="21"/>
                <w:lang w:val="en-US" w:eastAsia="zh-CN"/>
              </w:rPr>
              <w:t>20</w:t>
            </w:r>
            <w:r>
              <w:rPr>
                <w:rFonts w:hint="eastAsia" w:ascii="宋体" w:hAnsi="宋体" w:eastAsia="宋体" w:cs="宋体"/>
                <w:b/>
                <w:color w:val="auto"/>
                <w:sz w:val="21"/>
                <w:szCs w:val="21"/>
              </w:rPr>
              <w:t>日前</w:t>
            </w:r>
          </w:p>
        </w:tc>
        <w:tc>
          <w:tcPr>
            <w:tcW w:w="1791"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所有</w:t>
            </w:r>
            <w:r>
              <w:rPr>
                <w:rFonts w:hint="eastAsia" w:ascii="宋体" w:hAnsi="宋体" w:eastAsia="宋体" w:cs="宋体"/>
                <w:b/>
                <w:color w:val="auto"/>
                <w:sz w:val="21"/>
                <w:szCs w:val="21"/>
                <w:u w:val="single"/>
              </w:rPr>
              <w:t>高新区外（不含火炬区）</w:t>
            </w:r>
            <w:r>
              <w:rPr>
                <w:rFonts w:hint="eastAsia" w:ascii="宋体" w:hAnsi="宋体" w:eastAsia="宋体" w:cs="宋体"/>
                <w:color w:val="auto"/>
                <w:sz w:val="21"/>
                <w:szCs w:val="21"/>
                <w:lang w:val="en-US" w:eastAsia="zh-CN"/>
              </w:rPr>
              <w:t>国家级</w:t>
            </w:r>
            <w:r>
              <w:rPr>
                <w:rFonts w:hint="eastAsia" w:ascii="宋体" w:hAnsi="宋体" w:eastAsia="宋体" w:cs="宋体"/>
                <w:color w:val="auto"/>
                <w:sz w:val="21"/>
                <w:szCs w:val="21"/>
              </w:rPr>
              <w:t>高新技术企业</w:t>
            </w:r>
          </w:p>
        </w:tc>
        <w:tc>
          <w:tcPr>
            <w:tcW w:w="3216" w:type="dxa"/>
            <w:noWrap w:val="0"/>
            <w:vAlign w:val="center"/>
          </w:tcPr>
          <w:p>
            <w:pPr>
              <w:keepNext w:val="0"/>
              <w:keepLines w:val="0"/>
              <w:pageBreakBefore w:val="0"/>
              <w:widowControl w:val="0"/>
              <w:kinsoku/>
              <w:wordWrap w:val="0"/>
              <w:overflowPunct/>
              <w:topLinePunct w:val="0"/>
              <w:autoSpaceDE/>
              <w:autoSpaceDN/>
              <w:bidi w:val="0"/>
              <w:adjustRightInd/>
              <w:snapToGrid/>
              <w:jc w:val="both"/>
              <w:textAlignment w:val="auto"/>
              <w:rPr>
                <w:rFonts w:hint="eastAsia" w:ascii="宋体" w:hAnsi="宋体" w:eastAsia="微软雅黑"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登录工业和信息化部火炬中心官网，点击“在线服务—火炬统计调查—我要办理”进入统一身份认证与单点登录平台（网址：https://hjrz.chinatorch.org.cn/login）登录填报，选择“工业和信息化部火炬统计调查”→“</w:t>
            </w:r>
            <w:r>
              <w:rPr>
                <w:rFonts w:hint="eastAsia" w:ascii="宋体" w:hAnsi="宋体" w:eastAsia="宋体" w:cs="宋体"/>
                <w:b/>
                <w:bCs w:val="0"/>
                <w:color w:val="auto"/>
                <w:sz w:val="21"/>
                <w:szCs w:val="21"/>
                <w:highlight w:val="none"/>
                <w:u w:val="single"/>
                <w:lang w:val="en-US" w:eastAsia="zh-CN"/>
              </w:rPr>
              <w:t>企业年报</w:t>
            </w:r>
            <w:r>
              <w:rPr>
                <w:rFonts w:hint="eastAsia" w:ascii="宋体" w:hAnsi="宋体" w:eastAsia="宋体" w:cs="宋体"/>
                <w:b w:val="0"/>
                <w:bCs/>
                <w:color w:val="auto"/>
                <w:sz w:val="21"/>
                <w:szCs w:val="21"/>
                <w:highlight w:val="none"/>
                <w:lang w:val="en-US" w:eastAsia="zh-CN"/>
              </w:rPr>
              <w:t>”填报并提交，管理员审核后通过（3-5个工作日）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jc w:val="center"/>
        </w:trPr>
        <w:tc>
          <w:tcPr>
            <w:tcW w:w="673" w:type="dxa"/>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2133" w:type="dxa"/>
            <w:noWrap w:val="0"/>
            <w:vAlign w:val="center"/>
          </w:tcPr>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年度高新技术企业发展情况报表</w:t>
            </w:r>
          </w:p>
        </w:tc>
        <w:tc>
          <w:tcPr>
            <w:tcW w:w="1275" w:type="dxa"/>
            <w:noWrap w:val="0"/>
            <w:vAlign w:val="center"/>
          </w:tcPr>
          <w:p>
            <w:pP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2025年5月31日前</w:t>
            </w:r>
          </w:p>
        </w:tc>
        <w:tc>
          <w:tcPr>
            <w:tcW w:w="1791"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资格有效期内的国家级</w:t>
            </w:r>
            <w:r>
              <w:rPr>
                <w:rFonts w:hint="eastAsia" w:ascii="宋体" w:hAnsi="宋体" w:eastAsia="宋体" w:cs="宋体"/>
                <w:color w:val="auto"/>
                <w:sz w:val="21"/>
                <w:szCs w:val="21"/>
              </w:rPr>
              <w:t>高新技术企业</w:t>
            </w:r>
          </w:p>
        </w:tc>
        <w:tc>
          <w:tcPr>
            <w:tcW w:w="3216" w:type="dxa"/>
            <w:noWrap w:val="0"/>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登录工业和信息化部火炬中心官网，点击“在线服务—火炬统计调查—我要办理”进入统一身份认证与单点登录平台（网址：https://hjrz.chinatorch.org.cn/login）登录填报，选择“工业和信息化部火炬统计调查”→“</w:t>
            </w:r>
            <w:r>
              <w:rPr>
                <w:rFonts w:hint="eastAsia" w:ascii="宋体" w:hAnsi="宋体" w:eastAsia="宋体" w:cs="宋体"/>
                <w:b/>
                <w:bCs w:val="0"/>
                <w:color w:val="auto"/>
                <w:sz w:val="21"/>
                <w:szCs w:val="21"/>
                <w:highlight w:val="none"/>
                <w:u w:val="single"/>
                <w:lang w:val="en-US" w:eastAsia="zh-CN"/>
              </w:rPr>
              <w:t>高企发展情况</w:t>
            </w:r>
            <w:r>
              <w:rPr>
                <w:rFonts w:hint="eastAsia" w:ascii="宋体" w:hAnsi="宋体" w:eastAsia="宋体" w:cs="宋体"/>
                <w:b w:val="0"/>
                <w:bCs/>
                <w:color w:val="auto"/>
                <w:sz w:val="21"/>
                <w:szCs w:val="21"/>
                <w:highlight w:val="none"/>
                <w:lang w:val="en-US" w:eastAsia="zh-CN"/>
              </w:rPr>
              <w:t>”填报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673"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p>
        </w:tc>
        <w:tc>
          <w:tcPr>
            <w:tcW w:w="2133" w:type="dxa"/>
            <w:noWrap w:val="0"/>
            <w:vAlign w:val="center"/>
          </w:tcPr>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高新技术企业综合统计快报表</w:t>
            </w:r>
          </w:p>
        </w:tc>
        <w:tc>
          <w:tcPr>
            <w:tcW w:w="1275" w:type="dxa"/>
            <w:noWrap w:val="0"/>
            <w:vAlign w:val="center"/>
          </w:tcPr>
          <w:p>
            <w:pPr>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次年1月5日前</w:t>
            </w:r>
          </w:p>
        </w:tc>
        <w:tc>
          <w:tcPr>
            <w:tcW w:w="1791"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所有</w:t>
            </w:r>
            <w:r>
              <w:rPr>
                <w:rFonts w:hint="eastAsia" w:ascii="宋体" w:hAnsi="宋体" w:eastAsia="宋体" w:cs="宋体"/>
                <w:color w:val="auto"/>
                <w:sz w:val="21"/>
                <w:szCs w:val="21"/>
                <w:lang w:val="en-US" w:eastAsia="zh-CN"/>
              </w:rPr>
              <w:t>国家级</w:t>
            </w:r>
            <w:r>
              <w:rPr>
                <w:rFonts w:hint="eastAsia" w:ascii="宋体" w:hAnsi="宋体" w:eastAsia="宋体" w:cs="宋体"/>
                <w:color w:val="auto"/>
                <w:sz w:val="21"/>
                <w:szCs w:val="21"/>
              </w:rPr>
              <w:t>高新技术企业</w:t>
            </w:r>
          </w:p>
        </w:tc>
        <w:tc>
          <w:tcPr>
            <w:tcW w:w="3216" w:type="dxa"/>
            <w:noWrap w:val="0"/>
            <w:vAlign w:val="center"/>
          </w:tcPr>
          <w:p>
            <w:pP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为方便企业填报，已合并至</w:t>
            </w:r>
            <w:r>
              <w:rPr>
                <w:rFonts w:hint="eastAsia" w:ascii="宋体" w:hAnsi="宋体" w:eastAsia="宋体" w:cs="宋体"/>
                <w:color w:val="auto"/>
                <w:sz w:val="21"/>
                <w:szCs w:val="21"/>
                <w:lang w:val="en-US" w:eastAsia="zh-CN"/>
              </w:rPr>
              <w:t>高新技术企业</w:t>
            </w:r>
            <w:r>
              <w:rPr>
                <w:rFonts w:hint="eastAsia" w:ascii="宋体" w:hAnsi="宋体" w:eastAsia="宋体" w:cs="宋体"/>
                <w:color w:val="auto"/>
                <w:sz w:val="21"/>
                <w:szCs w:val="21"/>
              </w:rPr>
              <w:t>月报表</w:t>
            </w:r>
            <w:r>
              <w:rPr>
                <w:rFonts w:hint="eastAsia" w:ascii="宋体" w:hAnsi="宋体" w:eastAsia="宋体" w:cs="宋体"/>
                <w:color w:val="auto"/>
                <w:sz w:val="21"/>
                <w:szCs w:val="21"/>
                <w:lang w:val="en-US" w:eastAsia="zh-CN"/>
              </w:rPr>
              <w:t>及年度快报表</w:t>
            </w:r>
            <w:r>
              <w:rPr>
                <w:rFonts w:hint="eastAsia" w:ascii="宋体" w:hAnsi="宋体" w:eastAsia="宋体" w:cs="宋体"/>
                <w:b w:val="0"/>
                <w:bCs/>
                <w:color w:val="auto"/>
                <w:sz w:val="21"/>
                <w:szCs w:val="21"/>
                <w:lang w:val="en-US" w:eastAsia="zh-CN"/>
              </w:rPr>
              <w:t>（序号1），企业登录厦门市科技局统计直报系统填报，由市科技局汇总后报送火炬中心</w:t>
            </w:r>
          </w:p>
        </w:tc>
      </w:tr>
    </w:tbl>
    <w:p>
      <w:pPr>
        <w:keepNext w:val="0"/>
        <w:keepLines w:val="0"/>
        <w:pageBreakBefore w:val="0"/>
        <w:widowControl w:val="0"/>
        <w:kinsoku/>
        <w:wordWrap/>
        <w:overflowPunct/>
        <w:topLinePunct w:val="0"/>
        <w:autoSpaceDE/>
        <w:autoSpaceDN/>
        <w:bidi w:val="0"/>
        <w:adjustRightInd/>
        <w:snapToGrid/>
        <w:spacing w:line="520" w:lineRule="exact"/>
        <w:ind w:left="-420" w:leftChars="-200" w:right="-313" w:rightChars="-149" w:firstLine="560" w:firstLineChars="200"/>
        <w:textAlignment w:val="auto"/>
        <w:rPr>
          <w:rFonts w:hint="eastAsia" w:ascii="宋体" w:hAnsi="宋体" w:eastAsia="宋体" w:cs="宋体"/>
          <w:b w:val="0"/>
          <w:bCs/>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left="-420" w:leftChars="-200" w:right="-313" w:rightChars="-149" w:firstLine="560" w:firstLineChars="200"/>
        <w:textAlignment w:val="auto"/>
        <w:rPr>
          <w:rFonts w:hint="eastAsia" w:ascii="宋体" w:hAnsi="宋体" w:eastAsia="宋体" w:cs="宋体"/>
          <w:b/>
          <w:sz w:val="28"/>
          <w:szCs w:val="28"/>
        </w:rPr>
      </w:pPr>
      <w:r>
        <w:rPr>
          <w:rFonts w:hint="eastAsia" w:ascii="宋体" w:hAnsi="宋体" w:eastAsia="宋体" w:cs="宋体"/>
          <w:b w:val="0"/>
          <w:bCs/>
          <w:sz w:val="28"/>
          <w:szCs w:val="28"/>
        </w:rPr>
        <w:t>各</w:t>
      </w:r>
      <w:r>
        <w:rPr>
          <w:rFonts w:hint="eastAsia" w:ascii="宋体" w:hAnsi="宋体" w:eastAsia="宋体" w:cs="宋体"/>
          <w:b w:val="0"/>
          <w:bCs/>
          <w:sz w:val="28"/>
          <w:szCs w:val="28"/>
          <w:lang w:val="en-US" w:eastAsia="zh-CN"/>
        </w:rPr>
        <w:t>填报单位</w:t>
      </w:r>
      <w:r>
        <w:rPr>
          <w:rFonts w:hint="eastAsia" w:ascii="宋体" w:hAnsi="宋体" w:eastAsia="宋体" w:cs="宋体"/>
          <w:b w:val="0"/>
          <w:bCs/>
          <w:sz w:val="28"/>
          <w:szCs w:val="28"/>
        </w:rPr>
        <w:t>必须指定专人，</w:t>
      </w:r>
      <w:r>
        <w:rPr>
          <w:rFonts w:hint="eastAsia" w:ascii="宋体" w:hAnsi="宋体" w:eastAsia="宋体" w:cs="宋体"/>
          <w:b w:val="0"/>
          <w:bCs/>
          <w:sz w:val="28"/>
          <w:szCs w:val="28"/>
          <w:lang w:val="en-US" w:eastAsia="zh-CN"/>
        </w:rPr>
        <w:t>在报送时间内按照填报要求登录相关网址，</w:t>
      </w:r>
      <w:r>
        <w:rPr>
          <w:rFonts w:hint="eastAsia" w:ascii="宋体" w:hAnsi="宋体" w:eastAsia="宋体" w:cs="宋体"/>
          <w:b w:val="0"/>
          <w:bCs/>
          <w:sz w:val="28"/>
          <w:szCs w:val="28"/>
        </w:rPr>
        <w:t>认真填报统计报表。</w:t>
      </w:r>
    </w:p>
    <w:p>
      <w:pPr>
        <w:jc w:val="center"/>
        <w:sectPr>
          <w:footerReference r:id="rId4"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spacing w:line="720" w:lineRule="auto"/>
        <w:jc w:val="left"/>
        <w:textAlignment w:val="auto"/>
        <w:rPr>
          <w:rFonts w:hint="eastAsia" w:ascii="宋体" w:hAnsi="宋体" w:eastAsia="宋体" w:cs="宋体"/>
          <w:b/>
          <w:sz w:val="32"/>
          <w:szCs w:val="32"/>
          <w:lang w:val="en-US"/>
        </w:rPr>
      </w:pPr>
      <w:r>
        <w:rPr>
          <w:rFonts w:hint="eastAsia" w:ascii="宋体" w:hAnsi="宋体" w:eastAsia="宋体" w:cs="宋体"/>
          <w:b/>
          <w:sz w:val="32"/>
          <w:szCs w:val="32"/>
          <w:lang w:val="en-US" w:eastAsia="zh-CN"/>
        </w:rPr>
        <w:t>二、相关文件及说明</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b/>
          <w:bCs/>
          <w:sz w:val="30"/>
          <w:szCs w:val="30"/>
        </w:rPr>
      </w:pPr>
      <w:r>
        <w:rPr>
          <w:rFonts w:hint="eastAsia" w:ascii="宋体" w:hAnsi="宋体" w:eastAsia="宋体" w:cs="宋体"/>
          <w:sz w:val="28"/>
          <w:szCs w:val="28"/>
        </w:rPr>
        <w:t>厦门市高新协会网站</w:t>
      </w:r>
      <w:r>
        <w:rPr>
          <w:rFonts w:hint="eastAsia" w:ascii="宋体" w:hAnsi="宋体" w:eastAsia="宋体" w:cs="宋体"/>
          <w:color w:val="5500FF"/>
          <w:sz w:val="28"/>
          <w:szCs w:val="28"/>
        </w:rPr>
        <w:fldChar w:fldCharType="begin"/>
      </w:r>
      <w:r>
        <w:rPr>
          <w:rFonts w:hint="eastAsia" w:ascii="宋体" w:hAnsi="宋体" w:eastAsia="宋体" w:cs="宋体"/>
          <w:color w:val="5500FF"/>
          <w:sz w:val="28"/>
          <w:szCs w:val="28"/>
        </w:rPr>
        <w:instrText xml:space="preserve"> HYPERLINK "http://www.xmhta.com" </w:instrText>
      </w:r>
      <w:r>
        <w:rPr>
          <w:rFonts w:hint="eastAsia" w:ascii="宋体" w:hAnsi="宋体" w:eastAsia="宋体" w:cs="宋体"/>
          <w:color w:val="5500FF"/>
          <w:sz w:val="28"/>
          <w:szCs w:val="28"/>
        </w:rPr>
        <w:fldChar w:fldCharType="separate"/>
      </w:r>
      <w:r>
        <w:rPr>
          <w:rStyle w:val="12"/>
          <w:rFonts w:hint="eastAsia" w:ascii="宋体" w:hAnsi="宋体" w:eastAsia="宋体" w:cs="宋体"/>
          <w:color w:val="5500FF"/>
          <w:sz w:val="28"/>
          <w:szCs w:val="28"/>
        </w:rPr>
        <w:t>www.xmhta.com</w:t>
      </w:r>
      <w:r>
        <w:rPr>
          <w:rFonts w:hint="eastAsia" w:ascii="宋体" w:hAnsi="宋体" w:eastAsia="宋体" w:cs="宋体"/>
          <w:color w:val="5500FF"/>
          <w:sz w:val="28"/>
          <w:szCs w:val="28"/>
        </w:rPr>
        <w:fldChar w:fldCharType="end"/>
      </w:r>
      <w:r>
        <w:rPr>
          <w:rFonts w:hint="eastAsia" w:ascii="宋体" w:hAnsi="宋体" w:eastAsia="宋体" w:cs="宋体"/>
          <w:color w:val="5500FF"/>
          <w:sz w:val="28"/>
          <w:szCs w:val="28"/>
          <w:lang w:val="en-US" w:eastAsia="zh-CN"/>
        </w:rPr>
        <w:t>/</w:t>
      </w:r>
      <w:r>
        <w:rPr>
          <w:rFonts w:hint="eastAsia" w:ascii="宋体" w:hAnsi="宋体" w:eastAsia="宋体" w:cs="宋体"/>
          <w:sz w:val="28"/>
          <w:szCs w:val="28"/>
          <w:lang w:val="en-US" w:eastAsia="zh-CN"/>
        </w:rPr>
        <w:t>通知公告/“统计与调查”</w:t>
      </w:r>
      <w:r>
        <w:rPr>
          <w:rFonts w:hint="eastAsia" w:ascii="宋体" w:hAnsi="宋体" w:eastAsia="宋体" w:cs="宋体"/>
          <w:sz w:val="30"/>
          <w:szCs w:val="30"/>
        </w:rPr>
        <w:t>栏目</w:t>
      </w:r>
    </w:p>
    <w:p>
      <w:pPr>
        <w:keepNext w:val="0"/>
        <w:keepLines w:val="0"/>
        <w:pageBreakBefore w:val="0"/>
        <w:widowControl w:val="0"/>
        <w:numPr>
          <w:ilvl w:val="0"/>
          <w:numId w:val="1"/>
        </w:numPr>
        <w:kinsoku/>
        <w:wordWrap/>
        <w:overflowPunct/>
        <w:topLinePunct w:val="0"/>
        <w:autoSpaceDE/>
        <w:autoSpaceDN/>
        <w:bidi w:val="0"/>
        <w:adjustRightInd/>
        <w:snapToGrid/>
        <w:spacing w:line="720" w:lineRule="auto"/>
        <w:textAlignment w:val="auto"/>
        <w:rPr>
          <w:rFonts w:hint="eastAsia" w:ascii="宋体" w:hAnsi="宋体" w:eastAsia="宋体" w:cs="宋体"/>
          <w:b/>
          <w:bCs/>
          <w:sz w:val="32"/>
          <w:szCs w:val="32"/>
        </w:rPr>
      </w:pPr>
      <w:r>
        <w:rPr>
          <w:rFonts w:hint="eastAsia" w:ascii="宋体" w:hAnsi="宋体" w:eastAsia="宋体" w:cs="宋体"/>
          <w:b/>
          <w:bCs/>
          <w:sz w:val="32"/>
          <w:szCs w:val="32"/>
          <w:lang w:val="en-US" w:eastAsia="zh-CN"/>
        </w:rPr>
        <w:t>统计咨询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联系人：</w:t>
      </w:r>
      <w:r>
        <w:rPr>
          <w:rFonts w:hint="eastAsia" w:ascii="宋体" w:hAnsi="宋体" w:eastAsia="宋体" w:cs="宋体"/>
          <w:sz w:val="28"/>
          <w:szCs w:val="28"/>
        </w:rPr>
        <w:t>丁文春、</w:t>
      </w:r>
      <w:r>
        <w:rPr>
          <w:rFonts w:hint="eastAsia" w:ascii="宋体" w:hAnsi="宋体" w:eastAsia="宋体" w:cs="宋体"/>
          <w:sz w:val="28"/>
          <w:szCs w:val="28"/>
          <w:lang w:val="en-US" w:eastAsia="zh-CN"/>
        </w:rPr>
        <w:t>钟文、张博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电话：2108271、</w:t>
      </w:r>
      <w:r>
        <w:rPr>
          <w:rFonts w:hint="eastAsia" w:ascii="宋体" w:hAnsi="宋体" w:eastAsia="宋体" w:cs="宋体"/>
          <w:sz w:val="28"/>
          <w:szCs w:val="28"/>
          <w:lang w:val="en-US" w:eastAsia="zh-CN"/>
        </w:rPr>
        <w:t>2025955、</w:t>
      </w:r>
      <w:r>
        <w:rPr>
          <w:rFonts w:hint="eastAsia" w:ascii="宋体" w:hAnsi="宋体" w:eastAsia="宋体" w:cs="宋体"/>
          <w:sz w:val="28"/>
          <w:szCs w:val="28"/>
        </w:rPr>
        <w:t>2053981</w:t>
      </w:r>
    </w:p>
    <w:p>
      <w:pPr>
        <w:keepNext w:val="0"/>
        <w:keepLines w:val="0"/>
        <w:pageBreakBefore w:val="0"/>
        <w:widowControl w:val="0"/>
        <w:kinsoku/>
        <w:wordWrap/>
        <w:overflowPunct/>
        <w:topLinePunct w:val="0"/>
        <w:autoSpaceDE/>
        <w:autoSpaceDN/>
        <w:bidi w:val="0"/>
        <w:adjustRightInd w:val="0"/>
        <w:snapToGrid w:val="0"/>
        <w:spacing w:line="336" w:lineRule="auto"/>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统计QQ群：641865323    </w:t>
      </w:r>
      <w:r>
        <w:rPr>
          <w:rFonts w:hint="eastAsia" w:ascii="宋体" w:hAnsi="宋体" w:eastAsia="宋体" w:cs="宋体"/>
          <w:sz w:val="28"/>
          <w:szCs w:val="28"/>
        </w:rPr>
        <w:t>传真：2025973</w:t>
      </w:r>
    </w:p>
    <w:p>
      <w:pPr>
        <w:keepNext w:val="0"/>
        <w:keepLines w:val="0"/>
        <w:pageBreakBefore w:val="0"/>
        <w:widowControl w:val="0"/>
        <w:kinsoku/>
        <w:wordWrap/>
        <w:overflowPunct/>
        <w:topLinePunct w:val="0"/>
        <w:autoSpaceDE/>
        <w:autoSpaceDN/>
        <w:bidi w:val="0"/>
        <w:adjustRightInd w:val="0"/>
        <w:snapToGrid w:val="0"/>
        <w:spacing w:line="336"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地址：厦门市虎园路2号科技</w:t>
      </w:r>
      <w:r>
        <w:rPr>
          <w:rFonts w:hint="eastAsia" w:ascii="宋体" w:hAnsi="宋体" w:eastAsia="宋体" w:cs="宋体"/>
          <w:sz w:val="28"/>
          <w:szCs w:val="28"/>
          <w:lang w:val="en-US" w:eastAsia="zh-CN"/>
        </w:rPr>
        <w:t>大院5号楼616</w:t>
      </w:r>
      <w:r>
        <w:rPr>
          <w:rFonts w:hint="eastAsia" w:ascii="宋体" w:hAnsi="宋体" w:eastAsia="宋体" w:cs="宋体"/>
          <w:sz w:val="28"/>
          <w:szCs w:val="28"/>
        </w:rPr>
        <w:t xml:space="preserve">   </w:t>
      </w:r>
    </w:p>
    <w:p>
      <w:pPr>
        <w:spacing w:line="520" w:lineRule="exact"/>
        <w:ind w:firstLine="560" w:firstLineChars="200"/>
        <w:rPr>
          <w:rFonts w:hint="eastAsia" w:ascii="宋体" w:hAnsi="宋体" w:eastAsia="宋体" w:cs="宋体"/>
          <w:sz w:val="24"/>
          <w:szCs w:val="24"/>
          <w:lang w:val="en-US" w:eastAsia="zh-CN"/>
        </w:rPr>
      </w:pPr>
      <w:r>
        <w:rPr>
          <w:rFonts w:hint="eastAsia" w:ascii="宋体" w:hAnsi="宋体" w:eastAsia="宋体" w:cs="宋体"/>
          <w:sz w:val="28"/>
          <w:szCs w:val="28"/>
          <w:lang w:eastAsia="zh-CN"/>
        </w:rPr>
        <w:drawing>
          <wp:anchor distT="0" distB="0" distL="114300" distR="114300" simplePos="0" relativeHeight="251666432" behindDoc="0" locked="0" layoutInCell="1" allowOverlap="1">
            <wp:simplePos x="0" y="0"/>
            <wp:positionH relativeFrom="column">
              <wp:posOffset>2332990</wp:posOffset>
            </wp:positionH>
            <wp:positionV relativeFrom="paragraph">
              <wp:posOffset>87630</wp:posOffset>
            </wp:positionV>
            <wp:extent cx="1302385" cy="1302385"/>
            <wp:effectExtent l="0" t="0" r="12065" b="12065"/>
            <wp:wrapNone/>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12"/>
                    <a:stretch>
                      <a:fillRect/>
                    </a:stretch>
                  </pic:blipFill>
                  <pic:spPr>
                    <a:xfrm>
                      <a:off x="0" y="0"/>
                      <a:ext cx="1302385" cy="1302385"/>
                    </a:xfrm>
                    <a:prstGeom prst="rect">
                      <a:avLst/>
                    </a:prstGeom>
                    <a:noFill/>
                    <a:ln>
                      <a:noFill/>
                    </a:ln>
                  </pic:spPr>
                </pic:pic>
              </a:graphicData>
            </a:graphic>
          </wp:anchor>
        </w:drawing>
      </w:r>
    </w:p>
    <w:p>
      <w:pPr>
        <w:spacing w:line="520" w:lineRule="exact"/>
        <w:ind w:firstLine="480" w:firstLineChars="200"/>
        <w:rPr>
          <w:rFonts w:hint="eastAsia" w:ascii="宋体" w:hAnsi="宋体" w:eastAsia="宋体" w:cs="宋体"/>
          <w:sz w:val="24"/>
          <w:szCs w:val="24"/>
          <w:lang w:val="en-US" w:eastAsia="zh-CN"/>
        </w:rPr>
      </w:pPr>
    </w:p>
    <w:p>
      <w:pPr>
        <w:spacing w:line="520" w:lineRule="exact"/>
        <w:ind w:firstLine="480" w:firstLineChars="200"/>
        <w:rPr>
          <w:rFonts w:hint="eastAsia" w:ascii="宋体" w:hAnsi="宋体" w:eastAsia="宋体" w:cs="宋体"/>
          <w:sz w:val="24"/>
          <w:szCs w:val="24"/>
          <w:lang w:val="en-US" w:eastAsia="zh-CN"/>
        </w:rPr>
      </w:pPr>
    </w:p>
    <w:p>
      <w:pPr>
        <w:spacing w:line="520" w:lineRule="exact"/>
        <w:ind w:firstLine="480" w:firstLineChars="200"/>
        <w:jc w:val="center"/>
        <w:rPr>
          <w:rFonts w:hint="eastAsia" w:ascii="宋体" w:hAnsi="宋体" w:eastAsia="宋体" w:cs="宋体"/>
          <w:sz w:val="24"/>
          <w:szCs w:val="24"/>
          <w:lang w:val="en-US" w:eastAsia="zh-CN"/>
        </w:rPr>
      </w:pPr>
    </w:p>
    <w:p>
      <w:pPr>
        <w:spacing w:line="520" w:lineRule="exact"/>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微信公众号</w:t>
      </w:r>
    </w:p>
    <w:p>
      <w:pPr>
        <w:spacing w:line="520" w:lineRule="exact"/>
        <w:rPr>
          <w:rFonts w:hint="eastAsia" w:ascii="宋体" w:hAnsi="宋体" w:eastAsia="宋体" w:cs="宋体"/>
          <w:sz w:val="24"/>
          <w:szCs w:val="24"/>
          <w:lang w:val="en-US" w:eastAsia="zh-CN"/>
        </w:rPr>
      </w:pPr>
    </w:p>
    <w:p>
      <w:pPr>
        <w:pStyle w:val="2"/>
        <w:rPr>
          <w:rFonts w:hint="eastAsia" w:ascii="宋体" w:hAnsi="宋体" w:eastAsia="宋体" w:cs="宋体"/>
          <w:lang w:val="en-US" w:eastAsia="zh-CN"/>
        </w:rPr>
      </w:pPr>
    </w:p>
    <w:p>
      <w:pPr>
        <w:spacing w:line="5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附件1：高新技术企业月报表及年度快报表登录指南</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附件</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xml:space="preserve">：国家高新区企业及区外高企统计年报表系统操作指南及注意事项 </w:t>
      </w:r>
    </w:p>
    <w:p>
      <w:pPr>
        <w:spacing w:line="5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附件3：年度高新技术企业发展情况报表填报说明</w:t>
      </w:r>
    </w:p>
    <w:p>
      <w:pPr>
        <w:spacing w:line="5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附件4：国家高新区企业及区外高新技术企业统计年报表（样表）</w:t>
      </w:r>
    </w:p>
    <w:p>
      <w:pPr>
        <w:pStyle w:val="2"/>
        <w:rPr>
          <w:rFonts w:hint="default"/>
          <w:lang w:val="en-US" w:eastAsia="zh-CN"/>
        </w:rPr>
      </w:pPr>
    </w:p>
    <w:p>
      <w:pPr>
        <w:pStyle w:val="2"/>
        <w:rPr>
          <w:rFonts w:hint="eastAsia" w:ascii="宋体" w:hAnsi="宋体" w:eastAsia="宋体" w:cs="宋体"/>
          <w:sz w:val="28"/>
          <w:szCs w:val="28"/>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360" w:lineRule="exact"/>
        <w:ind w:right="958" w:firstLine="560" w:firstLineChars="200"/>
        <w:jc w:val="right"/>
        <w:textAlignment w:val="auto"/>
        <w:rPr>
          <w:rFonts w:hint="eastAsia" w:ascii="宋体" w:hAnsi="宋体" w:eastAsia="宋体" w:cs="宋体"/>
          <w:sz w:val="28"/>
          <w:szCs w:val="28"/>
        </w:rPr>
      </w:pPr>
      <w:r>
        <w:rPr>
          <w:rFonts w:hint="eastAsia" w:ascii="宋体" w:hAnsi="宋体" w:eastAsia="宋体" w:cs="宋体"/>
          <w:sz w:val="28"/>
          <w:szCs w:val="28"/>
        </w:rPr>
        <w:t>厦门市科</w:t>
      </w:r>
      <w:r>
        <w:rPr>
          <w:rFonts w:hint="eastAsia" w:ascii="宋体" w:hAnsi="宋体" w:eastAsia="宋体" w:cs="宋体"/>
          <w:sz w:val="28"/>
          <w:szCs w:val="28"/>
          <w:lang w:val="en-US" w:eastAsia="zh-CN"/>
        </w:rPr>
        <w:t>学技术</w:t>
      </w:r>
      <w:r>
        <w:rPr>
          <w:rFonts w:hint="eastAsia" w:ascii="宋体" w:hAnsi="宋体" w:eastAsia="宋体" w:cs="宋体"/>
          <w:sz w:val="28"/>
          <w:szCs w:val="28"/>
        </w:rPr>
        <w:t>局</w:t>
      </w:r>
    </w:p>
    <w:p>
      <w:pPr>
        <w:keepNext w:val="0"/>
        <w:keepLines w:val="0"/>
        <w:pageBreakBefore w:val="0"/>
        <w:widowControl w:val="0"/>
        <w:kinsoku/>
        <w:wordWrap/>
        <w:overflowPunct/>
        <w:topLinePunct w:val="0"/>
        <w:autoSpaceDE/>
        <w:autoSpaceDN/>
        <w:bidi w:val="0"/>
        <w:adjustRightInd/>
        <w:snapToGrid/>
        <w:spacing w:line="360" w:lineRule="auto"/>
        <w:ind w:right="958"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2025年2月</w:t>
      </w:r>
    </w:p>
    <w:p>
      <w:pPr>
        <w:pStyle w:val="2"/>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sectPr>
          <w:headerReference r:id="rId5" w:type="default"/>
          <w:footerReference r:id="rId6" w:type="default"/>
          <w:pgSz w:w="11906" w:h="16838"/>
          <w:pgMar w:top="1474" w:right="1531" w:bottom="1474" w:left="1531" w:header="851" w:footer="992" w:gutter="0"/>
          <w:pgNumType w:fmt="decimal"/>
          <w:cols w:space="720" w:num="1"/>
          <w:docGrid w:type="lines" w:linePitch="312" w:charSpace="0"/>
        </w:sectPr>
      </w:pPr>
    </w:p>
    <w:p>
      <w:pPr>
        <w:jc w:val="left"/>
        <w:rPr>
          <w:rFonts w:hint="eastAsia"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附件1</w:t>
      </w:r>
    </w:p>
    <w:p>
      <w:pPr>
        <w:keepNext w:val="0"/>
        <w:keepLines w:val="0"/>
        <w:pageBreakBefore w:val="0"/>
        <w:widowControl w:val="0"/>
        <w:kinsoku/>
        <w:wordWrap/>
        <w:overflowPunct/>
        <w:topLinePunct w:val="0"/>
        <w:autoSpaceDE/>
        <w:autoSpaceDN/>
        <w:bidi w:val="0"/>
        <w:adjustRightInd w:val="0"/>
        <w:snapToGrid w:val="0"/>
        <w:spacing w:after="157" w:afterLines="50" w:line="360" w:lineRule="auto"/>
        <w:ind w:right="0"/>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高新技术企业月</w:t>
      </w:r>
      <w:r>
        <w:rPr>
          <w:rFonts w:hint="eastAsia" w:ascii="宋体" w:hAnsi="宋体" w:eastAsia="宋体" w:cs="宋体"/>
          <w:b/>
          <w:bCs/>
          <w:sz w:val="36"/>
          <w:szCs w:val="36"/>
        </w:rPr>
        <w:t>报表</w:t>
      </w:r>
      <w:r>
        <w:rPr>
          <w:rFonts w:hint="eastAsia" w:ascii="宋体" w:hAnsi="宋体" w:eastAsia="宋体" w:cs="宋体"/>
          <w:b/>
          <w:bCs/>
          <w:sz w:val="36"/>
          <w:szCs w:val="36"/>
          <w:lang w:val="en-US" w:eastAsia="zh-CN"/>
        </w:rPr>
        <w:t>及年度快报表登录指南</w:t>
      </w:r>
    </w:p>
    <w:p>
      <w:pPr>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一</w:t>
      </w:r>
      <w:r>
        <w:rPr>
          <w:rFonts w:hint="eastAsia" w:ascii="宋体" w:hAnsi="宋体" w:eastAsia="宋体" w:cs="宋体"/>
          <w:b/>
          <w:bCs/>
          <w:color w:val="000000"/>
          <w:spacing w:val="2"/>
          <w:kern w:val="0"/>
          <w:sz w:val="30"/>
          <w:szCs w:val="30"/>
        </w:rPr>
        <w:t>、登</w:t>
      </w:r>
      <w:r>
        <w:rPr>
          <w:rFonts w:hint="eastAsia" w:ascii="宋体" w:hAnsi="宋体" w:eastAsia="宋体" w:cs="宋体"/>
          <w:b/>
          <w:bCs/>
          <w:color w:val="000000"/>
          <w:spacing w:val="2"/>
          <w:kern w:val="0"/>
          <w:sz w:val="30"/>
          <w:szCs w:val="30"/>
          <w:lang w:val="en-US" w:eastAsia="zh-CN"/>
        </w:rPr>
        <w:t>录</w:t>
      </w:r>
    </w:p>
    <w:p>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方式1：登录厦门市科学技术局网站（</w:t>
      </w:r>
      <w:r>
        <w:rPr>
          <w:rFonts w:hint="eastAsia" w:ascii="宋体" w:hAnsi="宋体" w:eastAsia="宋体" w:cs="宋体"/>
          <w:color w:val="000000"/>
          <w:spacing w:val="2"/>
          <w:kern w:val="0"/>
          <w:sz w:val="30"/>
          <w:szCs w:val="30"/>
          <w:u w:val="single"/>
          <w:lang w:val="en-US" w:eastAsia="zh-CN"/>
        </w:rPr>
        <w:t>http://sti.xm.gov.cn</w:t>
      </w:r>
      <w:r>
        <w:rPr>
          <w:rFonts w:hint="eastAsia" w:ascii="宋体" w:hAnsi="宋体" w:eastAsia="宋体" w:cs="宋体"/>
          <w:color w:val="000000"/>
          <w:spacing w:val="2"/>
          <w:kern w:val="0"/>
          <w:sz w:val="30"/>
          <w:szCs w:val="30"/>
          <w:lang w:val="en-US" w:eastAsia="zh-CN"/>
        </w:rPr>
        <w:t>），点击</w:t>
      </w:r>
      <w:r>
        <w:rPr>
          <w:rFonts w:hint="eastAsia" w:ascii="宋体" w:hAnsi="宋体" w:eastAsia="宋体" w:cs="宋体"/>
          <w:b/>
          <w:bCs/>
          <w:color w:val="000000"/>
          <w:spacing w:val="2"/>
          <w:kern w:val="0"/>
          <w:sz w:val="30"/>
          <w:szCs w:val="30"/>
          <w:lang w:val="en-US" w:eastAsia="zh-CN"/>
        </w:rPr>
        <w:t>页面底部系统链接</w:t>
      </w:r>
      <w:r>
        <w:rPr>
          <w:rFonts w:hint="eastAsia" w:ascii="宋体" w:hAnsi="宋体" w:eastAsia="宋体" w:cs="宋体"/>
          <w:color w:val="000000"/>
          <w:spacing w:val="2"/>
          <w:kern w:val="0"/>
          <w:sz w:val="30"/>
          <w:szCs w:val="30"/>
          <w:lang w:val="en-US" w:eastAsia="zh-CN"/>
        </w:rPr>
        <w:t>“厦门市科技局企业统计直报系统”进入填报；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000000"/>
          <w:spacing w:val="2"/>
          <w:kern w:val="0"/>
          <w:sz w:val="30"/>
          <w:szCs w:val="30"/>
          <w:lang w:val="en-US" w:eastAsia="zh-CN"/>
        </w:rPr>
      </w:pPr>
      <w:r>
        <w:drawing>
          <wp:anchor distT="0" distB="0" distL="114300" distR="114300" simplePos="0" relativeHeight="251686912" behindDoc="1" locked="0" layoutInCell="1" allowOverlap="1">
            <wp:simplePos x="0" y="0"/>
            <wp:positionH relativeFrom="column">
              <wp:posOffset>-161290</wp:posOffset>
            </wp:positionH>
            <wp:positionV relativeFrom="paragraph">
              <wp:posOffset>163195</wp:posOffset>
            </wp:positionV>
            <wp:extent cx="5832475" cy="1224915"/>
            <wp:effectExtent l="0" t="0" r="0" b="13335"/>
            <wp:wrapThrough wrapText="bothSides">
              <wp:wrapPolygon>
                <wp:start x="0" y="0"/>
                <wp:lineTo x="0" y="21163"/>
                <wp:lineTo x="21518" y="21163"/>
                <wp:lineTo x="21518" y="0"/>
                <wp:lineTo x="0" y="0"/>
              </wp:wrapPolygon>
            </wp:wrapThrough>
            <wp:docPr id="8" name="图片 1" descr="C:\Users\马克图布\Desktop\b51e85456fb657e40a6af173641b2f5.pngb51e85456fb657e40a6af173641b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马克图布\Desktop\b51e85456fb657e40a6af173641b2f5.pngb51e85456fb657e40a6af173641b2f5"/>
                    <pic:cNvPicPr>
                      <a:picLocks noChangeAspect="1"/>
                    </pic:cNvPicPr>
                  </pic:nvPicPr>
                  <pic:blipFill>
                    <a:blip r:embed="rId13"/>
                    <a:srcRect/>
                    <a:stretch>
                      <a:fillRect/>
                    </a:stretch>
                  </pic:blipFill>
                  <pic:spPr>
                    <a:xfrm>
                      <a:off x="0" y="0"/>
                      <a:ext cx="5832475" cy="1224915"/>
                    </a:xfrm>
                    <a:prstGeom prst="rect">
                      <a:avLst/>
                    </a:prstGeom>
                    <a:noFill/>
                    <a:ln>
                      <a:noFill/>
                    </a:ln>
                  </pic:spPr>
                </pic:pic>
              </a:graphicData>
            </a:graphic>
          </wp:anchor>
        </w:drawing>
      </w:r>
      <w:r>
        <w:rPr>
          <w:rFonts w:hint="eastAsia" w:ascii="宋体" w:hAnsi="宋体" w:eastAsia="宋体" w:cs="宋体"/>
          <w:color w:val="000000"/>
          <w:spacing w:val="2"/>
          <w:kern w:val="0"/>
          <w:sz w:val="30"/>
          <w:szCs w:val="30"/>
          <w:lang w:val="en-US" w:eastAsia="zh-CN"/>
        </w:rPr>
        <w:t>方式2：直接登录厦门市科技局统计直报系统（</w:t>
      </w:r>
      <w:r>
        <w:rPr>
          <w:rFonts w:hint="eastAsia" w:ascii="宋体" w:hAnsi="宋体" w:eastAsia="宋体" w:cs="宋体"/>
          <w:color w:val="000000"/>
          <w:spacing w:val="2"/>
          <w:kern w:val="0"/>
          <w:sz w:val="30"/>
          <w:szCs w:val="30"/>
          <w:u w:val="single"/>
          <w:lang w:val="en-US" w:eastAsia="zh-CN"/>
        </w:rPr>
        <w:t>http://112.48.134.37:8000</w:t>
      </w:r>
      <w:r>
        <w:rPr>
          <w:rFonts w:hint="eastAsia" w:ascii="宋体" w:hAnsi="宋体" w:eastAsia="宋体" w:cs="宋体"/>
          <w:color w:val="000000"/>
          <w:spacing w:val="2"/>
          <w:kern w:val="0"/>
          <w:sz w:val="30"/>
          <w:szCs w:val="30"/>
          <w:lang w:val="en-US" w:eastAsia="zh-CN"/>
        </w:rPr>
        <w:t>）填报。</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color w:val="000000"/>
          <w:spacing w:val="2"/>
          <w:kern w:val="0"/>
          <w:sz w:val="30"/>
          <w:szCs w:val="30"/>
          <w:lang w:val="en-US" w:eastAsia="zh-CN"/>
        </w:rPr>
      </w:pPr>
      <w:r>
        <w:drawing>
          <wp:inline distT="0" distB="0" distL="114300" distR="114300">
            <wp:extent cx="3842385" cy="2235200"/>
            <wp:effectExtent l="0" t="0" r="5715"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3842385" cy="2235200"/>
                    </a:xfrm>
                    <a:prstGeom prst="rect">
                      <a:avLst/>
                    </a:prstGeom>
                    <a:noFill/>
                    <a:ln>
                      <a:noFill/>
                    </a:ln>
                  </pic:spPr>
                </pic:pic>
              </a:graphicData>
            </a:graphic>
          </wp:inline>
        </w:drawing>
      </w:r>
    </w:p>
    <w:p>
      <w:pPr>
        <w:numPr>
          <w:ilvl w:val="0"/>
          <w:numId w:val="0"/>
        </w:numPr>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二、账号和密码</w:t>
      </w:r>
    </w:p>
    <w:p>
      <w:pPr>
        <w:keepNext w:val="0"/>
        <w:keepLines w:val="0"/>
        <w:pageBreakBefore w:val="0"/>
        <w:widowControl w:val="0"/>
        <w:numPr>
          <w:ilvl w:val="0"/>
          <w:numId w:val="0"/>
        </w:numPr>
        <w:kinsoku/>
        <w:wordWrap/>
        <w:overflowPunct/>
        <w:topLinePunct w:val="0"/>
        <w:autoSpaceDE/>
        <w:autoSpaceDN/>
        <w:bidi w:val="0"/>
        <w:adjustRightInd/>
        <w:snapToGrid/>
        <w:ind w:firstLine="608" w:firstLineChars="200"/>
        <w:textAlignment w:val="auto"/>
        <w:rPr>
          <w:rFonts w:hint="default" w:ascii="宋体" w:hAnsi="宋体" w:eastAsia="宋体" w:cs="宋体"/>
          <w:color w:val="000000"/>
          <w:spacing w:val="2"/>
          <w:kern w:val="0"/>
          <w:sz w:val="30"/>
          <w:szCs w:val="30"/>
          <w:u w:val="none"/>
          <w:lang w:val="en-US" w:eastAsia="zh-CN"/>
        </w:rPr>
      </w:pPr>
      <w:r>
        <w:rPr>
          <w:rFonts w:hint="eastAsia" w:ascii="宋体" w:hAnsi="宋体" w:eastAsia="宋体" w:cs="宋体"/>
          <w:color w:val="000000"/>
          <w:spacing w:val="2"/>
          <w:kern w:val="0"/>
          <w:sz w:val="30"/>
          <w:szCs w:val="30"/>
          <w:lang w:val="en-US" w:eastAsia="zh-CN"/>
        </w:rPr>
        <w:t>登录账号为</w:t>
      </w:r>
      <w:r>
        <w:rPr>
          <w:rFonts w:hint="eastAsia" w:ascii="宋体" w:hAnsi="宋体" w:eastAsia="宋体" w:cs="宋体"/>
          <w:color w:val="000000"/>
          <w:spacing w:val="2"/>
          <w:kern w:val="0"/>
          <w:sz w:val="30"/>
          <w:szCs w:val="30"/>
          <w:u w:val="none"/>
          <w:lang w:val="en-US" w:eastAsia="zh-CN"/>
        </w:rPr>
        <w:t>企业</w:t>
      </w:r>
      <w:r>
        <w:rPr>
          <w:rFonts w:hint="eastAsia" w:ascii="宋体" w:hAnsi="宋体" w:eastAsia="宋体" w:cs="宋体"/>
          <w:color w:val="000000"/>
          <w:spacing w:val="2"/>
          <w:kern w:val="0"/>
          <w:sz w:val="30"/>
          <w:szCs w:val="30"/>
          <w:u w:val="single"/>
          <w:lang w:val="en-US" w:eastAsia="zh-CN"/>
        </w:rPr>
        <w:t>18位统一社会信用代码</w:t>
      </w:r>
      <w:r>
        <w:rPr>
          <w:rFonts w:hint="eastAsia" w:ascii="宋体" w:hAnsi="宋体" w:eastAsia="宋体" w:cs="宋体"/>
          <w:color w:val="000000"/>
          <w:spacing w:val="2"/>
          <w:kern w:val="0"/>
          <w:sz w:val="30"/>
          <w:szCs w:val="30"/>
          <w:lang w:val="en-US" w:eastAsia="zh-CN"/>
        </w:rPr>
        <w:t>，</w:t>
      </w:r>
      <w:r>
        <w:rPr>
          <w:rFonts w:hint="eastAsia" w:ascii="宋体" w:hAnsi="宋体" w:eastAsia="宋体" w:cs="宋体"/>
          <w:b/>
          <w:bCs/>
          <w:color w:val="000000"/>
          <w:spacing w:val="2"/>
          <w:kern w:val="0"/>
          <w:sz w:val="30"/>
          <w:szCs w:val="30"/>
          <w:lang w:val="en-US" w:eastAsia="zh-CN"/>
        </w:rPr>
        <w:t>首次登录初始密码</w:t>
      </w:r>
      <w:r>
        <w:rPr>
          <w:rFonts w:hint="eastAsia" w:ascii="宋体" w:hAnsi="宋体" w:eastAsia="宋体" w:cs="宋体"/>
          <w:color w:val="000000"/>
          <w:spacing w:val="2"/>
          <w:kern w:val="0"/>
          <w:sz w:val="30"/>
          <w:szCs w:val="30"/>
          <w:lang w:val="en-US" w:eastAsia="zh-CN"/>
        </w:rPr>
        <w:t>为</w:t>
      </w:r>
      <w:r>
        <w:rPr>
          <w:rFonts w:hint="eastAsia" w:ascii="宋体" w:hAnsi="宋体" w:eastAsia="宋体" w:cs="宋体"/>
          <w:color w:val="000000"/>
          <w:spacing w:val="2"/>
          <w:kern w:val="0"/>
          <w:sz w:val="30"/>
          <w:szCs w:val="30"/>
          <w:u w:val="single"/>
          <w:lang w:val="en-US" w:eastAsia="zh-CN"/>
        </w:rPr>
        <w:t>abcd1234，登录后请尽快修改密码并根据系统提示完善相关信息</w:t>
      </w:r>
      <w:r>
        <w:rPr>
          <w:rFonts w:hint="eastAsia" w:ascii="宋体" w:hAnsi="宋体" w:eastAsia="宋体" w:cs="宋体"/>
          <w:color w:val="000000"/>
          <w:spacing w:val="2"/>
          <w:kern w:val="0"/>
          <w:sz w:val="30"/>
          <w:szCs w:val="30"/>
          <w:u w:val="none"/>
          <w:lang w:val="en-US" w:eastAsia="zh-CN"/>
        </w:rPr>
        <w:t>；若提示用户名不存在或密码错误，请确认是否输入正确或联系工作人员。</w:t>
      </w:r>
    </w:p>
    <w:p>
      <w:pPr>
        <w:numPr>
          <w:ilvl w:val="0"/>
          <w:numId w:val="0"/>
        </w:numPr>
        <w:ind w:leftChars="0"/>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三、填报对象</w:t>
      </w:r>
    </w:p>
    <w:p>
      <w:pPr>
        <w:keepNext w:val="0"/>
        <w:keepLines w:val="0"/>
        <w:pageBreakBefore w:val="0"/>
        <w:widowControl w:val="0"/>
        <w:numPr>
          <w:ilvl w:val="0"/>
          <w:numId w:val="0"/>
        </w:numPr>
        <w:kinsoku/>
        <w:wordWrap/>
        <w:overflowPunct/>
        <w:topLinePunct w:val="0"/>
        <w:autoSpaceDE/>
        <w:autoSpaceDN/>
        <w:bidi w:val="0"/>
        <w:adjustRightInd/>
        <w:snapToGrid/>
        <w:ind w:firstLine="608" w:firstLineChars="200"/>
        <w:textAlignment w:val="auto"/>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val="0"/>
          <w:bCs w:val="0"/>
          <w:color w:val="000000"/>
          <w:spacing w:val="2"/>
          <w:kern w:val="0"/>
          <w:sz w:val="30"/>
          <w:szCs w:val="30"/>
          <w:lang w:val="en-US" w:eastAsia="zh-CN"/>
        </w:rPr>
        <w:t>所有国家级、市级高新技术企业</w:t>
      </w:r>
    </w:p>
    <w:p>
      <w:pPr>
        <w:numPr>
          <w:ilvl w:val="0"/>
          <w:numId w:val="0"/>
        </w:numPr>
        <w:ind w:leftChars="0"/>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四、报送时间</w:t>
      </w:r>
    </w:p>
    <w:p>
      <w:pPr>
        <w:keepNext w:val="0"/>
        <w:keepLines w:val="0"/>
        <w:pageBreakBefore w:val="0"/>
        <w:widowControl w:val="0"/>
        <w:numPr>
          <w:ilvl w:val="0"/>
          <w:numId w:val="0"/>
        </w:numPr>
        <w:kinsoku/>
        <w:wordWrap/>
        <w:overflowPunct/>
        <w:topLinePunct w:val="0"/>
        <w:autoSpaceDE/>
        <w:autoSpaceDN/>
        <w:bidi w:val="0"/>
        <w:adjustRightInd/>
        <w:snapToGrid/>
        <w:ind w:firstLine="608" w:firstLineChars="200"/>
        <w:textAlignment w:val="auto"/>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val="0"/>
          <w:bCs w:val="0"/>
          <w:color w:val="000000"/>
          <w:spacing w:val="2"/>
          <w:kern w:val="0"/>
          <w:sz w:val="30"/>
          <w:szCs w:val="30"/>
          <w:lang w:val="en-US" w:eastAsia="zh-CN"/>
        </w:rPr>
        <w:t>每个月5日前</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五、填报界面（仅供参考）</w:t>
      </w:r>
    </w:p>
    <w:p>
      <w:pPr>
        <w:pStyle w:val="2"/>
        <w:numPr>
          <w:ilvl w:val="0"/>
          <w:numId w:val="0"/>
        </w:numPr>
        <w:ind w:leftChars="0"/>
        <w:rPr>
          <w:rFonts w:hint="eastAsia"/>
          <w:lang w:val="en-US" w:eastAsia="zh-CN"/>
        </w:rPr>
      </w:pPr>
      <w:r>
        <w:drawing>
          <wp:anchor distT="0" distB="0" distL="114300" distR="114300" simplePos="0" relativeHeight="251665408" behindDoc="0" locked="0" layoutInCell="1" allowOverlap="1">
            <wp:simplePos x="0" y="0"/>
            <wp:positionH relativeFrom="column">
              <wp:posOffset>-448945</wp:posOffset>
            </wp:positionH>
            <wp:positionV relativeFrom="paragraph">
              <wp:posOffset>245110</wp:posOffset>
            </wp:positionV>
            <wp:extent cx="5935345" cy="2083435"/>
            <wp:effectExtent l="0" t="0" r="8255" b="12065"/>
            <wp:wrapNone/>
            <wp:docPr id="10" name="图片 6" descr="C:\Users\马克图布\Desktop\d7ee7932148de324133a34b5349a374.pngd7ee7932148de324133a34b5349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马克图布\Desktop\d7ee7932148de324133a34b5349a374.pngd7ee7932148de324133a34b5349a374"/>
                    <pic:cNvPicPr>
                      <a:picLocks noChangeAspect="1"/>
                    </pic:cNvPicPr>
                  </pic:nvPicPr>
                  <pic:blipFill>
                    <a:blip r:embed="rId15"/>
                    <a:srcRect/>
                    <a:stretch>
                      <a:fillRect/>
                    </a:stretch>
                  </pic:blipFill>
                  <pic:spPr>
                    <a:xfrm>
                      <a:off x="0" y="0"/>
                      <a:ext cx="5935345" cy="2083435"/>
                    </a:xfrm>
                    <a:prstGeom prst="rect">
                      <a:avLst/>
                    </a:prstGeom>
                    <a:noFill/>
                    <a:ln>
                      <a:noFill/>
                    </a:ln>
                  </pic:spPr>
                </pic:pic>
              </a:graphicData>
            </a:graphic>
          </wp:anchor>
        </w:drawing>
      </w:r>
    </w:p>
    <w:p>
      <w:pPr>
        <w:pStyle w:val="2"/>
        <w:rPr>
          <w:rFonts w:hint="eastAsia"/>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-528320</wp:posOffset>
                </wp:positionH>
                <wp:positionV relativeFrom="paragraph">
                  <wp:posOffset>194945</wp:posOffset>
                </wp:positionV>
                <wp:extent cx="747395" cy="1800860"/>
                <wp:effectExtent l="12700" t="12700" r="20955" b="15240"/>
                <wp:wrapNone/>
                <wp:docPr id="9" name="矩形 9"/>
                <wp:cNvGraphicFramePr/>
                <a:graphic xmlns:a="http://schemas.openxmlformats.org/drawingml/2006/main">
                  <a:graphicData uri="http://schemas.microsoft.com/office/word/2010/wordprocessingShape">
                    <wps:wsp>
                      <wps:cNvSpPr/>
                      <wps:spPr>
                        <a:xfrm>
                          <a:off x="414020" y="2858135"/>
                          <a:ext cx="747395" cy="1800860"/>
                        </a:xfrm>
                        <a:prstGeom prst="rect">
                          <a:avLst/>
                        </a:prstGeom>
                        <a:noFill/>
                        <a:ln w="254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6pt;margin-top:15.35pt;height:141.8pt;width:58.85pt;z-index:251668480;v-text-anchor:middle;mso-width-relative:page;mso-height-relative:page;" filled="f" stroked="t" coordsize="21600,21600" o:gfxdata="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Q52+tkAAAAJAQAADwAAAAAAAAABACAAAAAiAAAA&#10;ZHJzL2Rvd25yZXYueG1sUEsBAhQAFAAAAAgAh07iQH7yyRl4AgAA1gQAAA4AAAAAAAAAAQAgAAAA&#10;KAEAAGRycy9lMm9Eb2MueG1sUEsFBgAAAAAGAAYAWQEAABIGAAAAAA==&#10;">
                <v:fill on="f" focussize="0,0"/>
                <v:stroke weight="2pt" color="#FF0000 [3209]"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000000"/>
          <w:spacing w:val="2"/>
          <w:kern w:val="0"/>
          <w:sz w:val="30"/>
          <w:szCs w:val="30"/>
          <w:lang w:val="en-US"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-638175</wp:posOffset>
                </wp:positionH>
                <wp:positionV relativeFrom="paragraph">
                  <wp:posOffset>320040</wp:posOffset>
                </wp:positionV>
                <wp:extent cx="338455" cy="190500"/>
                <wp:effectExtent l="7620" t="1905" r="15875" b="17145"/>
                <wp:wrapNone/>
                <wp:docPr id="12" name="直接箭头连接符 12"/>
                <wp:cNvGraphicFramePr/>
                <a:graphic xmlns:a="http://schemas.openxmlformats.org/drawingml/2006/main">
                  <a:graphicData uri="http://schemas.microsoft.com/office/word/2010/wordprocessingShape">
                    <wps:wsp>
                      <wps:cNvCnPr/>
                      <wps:spPr>
                        <a:xfrm flipV="1">
                          <a:off x="346710" y="3710305"/>
                          <a:ext cx="338455" cy="19050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0.25pt;margin-top:25.2pt;height:15pt;width:26.65pt;z-index:251669504;mso-width-relative:page;mso-height-relative:page;" filled="f" stroked="t" coordsize="21600,21600" o:gfxdata="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L8wktcAAAAK&#10;AQAADwAAAAAAAAABACAAAAAiAAAAZHJzL2Rvd25yZXYueG1sUEsBAhQAFAAAAAgAh07iQJJAA1Ed&#10;AgAA+gMAAA4AAAAAAAAAAQAgAAAAJgEAAGRycy9lMm9Eb2MueG1sUEsFBgAAAAAGAAYAWQEAALUF&#10;AAAAAA==&#10;">
                <v:fill on="f" focussize="0,0"/>
                <v:stroke weight="2.5pt" color="#FF0000 [3204]"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000000"/>
          <w:spacing w:val="2"/>
          <w:kern w:val="0"/>
          <w:sz w:val="30"/>
          <w:szCs w:val="30"/>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314325</wp:posOffset>
                </wp:positionH>
                <wp:positionV relativeFrom="paragraph">
                  <wp:posOffset>103505</wp:posOffset>
                </wp:positionV>
                <wp:extent cx="5055235" cy="421640"/>
                <wp:effectExtent l="12700" t="12700" r="18415" b="22860"/>
                <wp:wrapNone/>
                <wp:docPr id="13" name="矩形 13"/>
                <wp:cNvGraphicFramePr/>
                <a:graphic xmlns:a="http://schemas.openxmlformats.org/drawingml/2006/main">
                  <a:graphicData uri="http://schemas.microsoft.com/office/word/2010/wordprocessingShape">
                    <wps:wsp>
                      <wps:cNvSpPr/>
                      <wps:spPr>
                        <a:xfrm>
                          <a:off x="0" y="0"/>
                          <a:ext cx="5055235" cy="421640"/>
                        </a:xfrm>
                        <a:prstGeom prst="rect">
                          <a:avLst/>
                        </a:prstGeom>
                        <a:noFill/>
                        <a:ln w="254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5pt;margin-top:8.15pt;height:33.2pt;width:398.05pt;z-index:251670528;v-text-anchor:middle;mso-width-relative:page;mso-height-relative:page;" filled="f" stroked="t" coordsize="21600,21600" o:gfxdata="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ONLDtgAAAAIAQAADwAAAAAAAAABACAAAAAiAAAAZHJzL2Rvd25yZXYu&#10;eG1sUEsBAhQAFAAAAAgAh07iQDpcEHVtAgAAzQQAAA4AAAAAAAAAAQAgAAAAJwEAAGRycy9lMm9E&#10;b2MueG1sUEsFBgAAAAAGAAYAWQEAAAYGAAAAAA==&#10;">
                <v:fill on="f" focussize="0,0"/>
                <v:stroke weight="2pt" color="#FF0000 [3209]"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000000"/>
          <w:spacing w:val="2"/>
          <w:kern w:val="0"/>
          <w:sz w:val="30"/>
          <w:szCs w:val="30"/>
          <w:lang w:val="en-US" w:eastAsia="zh-CN"/>
        </w:rPr>
      </w:pPr>
      <w:r>
        <w:rPr>
          <w:sz w:val="30"/>
        </w:rPr>
        <mc:AlternateContent>
          <mc:Choice Requires="wps">
            <w:drawing>
              <wp:anchor distT="0" distB="0" distL="114300" distR="114300" simplePos="0" relativeHeight="251673600" behindDoc="0" locked="0" layoutInCell="1" allowOverlap="1">
                <wp:simplePos x="0" y="0"/>
                <wp:positionH relativeFrom="column">
                  <wp:posOffset>4885690</wp:posOffset>
                </wp:positionH>
                <wp:positionV relativeFrom="paragraph">
                  <wp:posOffset>16510</wp:posOffset>
                </wp:positionV>
                <wp:extent cx="150495" cy="403225"/>
                <wp:effectExtent l="23495" t="0" r="16510" b="15875"/>
                <wp:wrapNone/>
                <wp:docPr id="19" name="直接箭头连接符 19"/>
                <wp:cNvGraphicFramePr/>
                <a:graphic xmlns:a="http://schemas.openxmlformats.org/drawingml/2006/main">
                  <a:graphicData uri="http://schemas.microsoft.com/office/word/2010/wordprocessingShape">
                    <wps:wsp>
                      <wps:cNvCnPr/>
                      <wps:spPr>
                        <a:xfrm flipH="1" flipV="1">
                          <a:off x="0" y="0"/>
                          <a:ext cx="150495" cy="403225"/>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84.7pt;margin-top:1.3pt;height:31.75pt;width:11.85pt;z-index:251673600;mso-width-relative:page;mso-height-relative:page;" filled="f" stroked="t" coordsize="21600,21600" o:gfxdata="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3kTwXWAAAACAEAAA8A&#10;AAAAAAAAAQAgAAAAIgAAAGRycy9kb3ducmV2LnhtbFBLAQIUABQAAAAIAIdO4kASVMvtGQIAAPkD&#10;AAAOAAAAAAAAAAEAIAAAACUBAABkcnMvZTJvRG9jLnhtbFBLBQYAAAAABgAGAFkBAACwBQAAAAA=&#10;">
                <v:fill on="f" focussize="0,0"/>
                <v:stroke weight="2.5pt" color="#FF0000 [3204]"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76672" behindDoc="0" locked="0" layoutInCell="1" allowOverlap="1">
                <wp:simplePos x="0" y="0"/>
                <wp:positionH relativeFrom="column">
                  <wp:posOffset>3820795</wp:posOffset>
                </wp:positionH>
                <wp:positionV relativeFrom="paragraph">
                  <wp:posOffset>31750</wp:posOffset>
                </wp:positionV>
                <wp:extent cx="510540" cy="420370"/>
                <wp:effectExtent l="10160" t="0" r="12700" b="17780"/>
                <wp:wrapNone/>
                <wp:docPr id="14" name="直接箭头连接符 14"/>
                <wp:cNvGraphicFramePr/>
                <a:graphic xmlns:a="http://schemas.openxmlformats.org/drawingml/2006/main">
                  <a:graphicData uri="http://schemas.microsoft.com/office/word/2010/wordprocessingShape">
                    <wps:wsp>
                      <wps:cNvCnPr/>
                      <wps:spPr>
                        <a:xfrm flipV="1">
                          <a:off x="0" y="0"/>
                          <a:ext cx="510540" cy="42037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00.85pt;margin-top:2.5pt;height:33.1pt;width:40.2pt;z-index:251676672;mso-width-relative:page;mso-height-relative:page;" filled="f" stroked="t" coordsize="21600,21600" o:gfxdata="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KkFbHWAAAACAEAAA8AAAAAAAAA&#10;AQAgAAAAIgAAAGRycy9kb3ducmV2LnhtbFBLAQIUABQAAAAIAIdO4kCSvujfEwIAAO8DAAAOAAAA&#10;AAAAAAEAIAAAACUBAABkcnMvZTJvRG9jLnhtbFBLBQYAAAAABgAGAFkBAACqBQAAAAA=&#10;">
                <v:fill on="f" focussize="0,0"/>
                <v:stroke weight="2.5pt" color="#FF0000 [3204]"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75648" behindDoc="0" locked="0" layoutInCell="1" allowOverlap="1">
                <wp:simplePos x="0" y="0"/>
                <wp:positionH relativeFrom="column">
                  <wp:posOffset>2954655</wp:posOffset>
                </wp:positionH>
                <wp:positionV relativeFrom="paragraph">
                  <wp:posOffset>50165</wp:posOffset>
                </wp:positionV>
                <wp:extent cx="664210" cy="318770"/>
                <wp:effectExtent l="6985" t="10795" r="14605" b="32385"/>
                <wp:wrapNone/>
                <wp:docPr id="17" name="直接箭头连接符 17"/>
                <wp:cNvGraphicFramePr/>
                <a:graphic xmlns:a="http://schemas.openxmlformats.org/drawingml/2006/main">
                  <a:graphicData uri="http://schemas.microsoft.com/office/word/2010/wordprocessingShape">
                    <wps:wsp>
                      <wps:cNvCnPr/>
                      <wps:spPr>
                        <a:xfrm flipV="1">
                          <a:off x="0" y="0"/>
                          <a:ext cx="664210" cy="31877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2.65pt;margin-top:3.95pt;height:25.1pt;width:52.3pt;z-index:251675648;mso-width-relative:page;mso-height-relative:page;" filled="f" stroked="t" coordsize="21600,21600" o:gfxdata="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XwOaNcAAAAIAQAADwAAAAAAAAAB&#10;ACAAAAAiAAAAZHJzL2Rvd25yZXYueG1sUEsBAhQAFAAAAAgAh07iQNNgrN0RAgAA7wMAAA4AAAAA&#10;AAAAAQAgAAAAJgEAAGRycy9lMm9Eb2MueG1sUEsFBgAAAAAGAAYAWQEAAKkFAAAAAA==&#10;">
                <v:fill on="f" focussize="0,0"/>
                <v:stroke weight="2.5pt" color="#FF0000 [3204]"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000000"/>
          <w:spacing w:val="2"/>
          <w:kern w:val="0"/>
          <w:sz w:val="30"/>
          <w:szCs w:val="30"/>
          <w:lang w:val="en-US" w:eastAsia="zh-CN"/>
        </w:rPr>
      </w:pPr>
      <w:r>
        <w:rPr>
          <w:sz w:val="30"/>
        </w:rPr>
        <mc:AlternateContent>
          <mc:Choice Requires="wps">
            <w:drawing>
              <wp:anchor distT="0" distB="0" distL="114300" distR="114300" simplePos="0" relativeHeight="251674624" behindDoc="0" locked="0" layoutInCell="1" allowOverlap="1">
                <wp:simplePos x="0" y="0"/>
                <wp:positionH relativeFrom="column">
                  <wp:posOffset>4704080</wp:posOffset>
                </wp:positionH>
                <wp:positionV relativeFrom="paragraph">
                  <wp:posOffset>52705</wp:posOffset>
                </wp:positionV>
                <wp:extent cx="1132840" cy="306705"/>
                <wp:effectExtent l="0" t="0" r="10160" b="17145"/>
                <wp:wrapNone/>
                <wp:docPr id="20" name="文本框 20"/>
                <wp:cNvGraphicFramePr/>
                <a:graphic xmlns:a="http://schemas.openxmlformats.org/drawingml/2006/main">
                  <a:graphicData uri="http://schemas.microsoft.com/office/word/2010/wordprocessingShape">
                    <wps:wsp>
                      <wps:cNvSpPr txBox="1"/>
                      <wps:spPr>
                        <a:xfrm>
                          <a:off x="0" y="0"/>
                          <a:ext cx="1132840"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点击进入填报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4pt;margin-top:4.15pt;height:24.15pt;width:89.2pt;z-index:251674624;mso-width-relative:page;mso-height-relative:page;" fillcolor="#FFFFFF [3201]" filled="t" stroked="f" coordsize="21600,21600" o:gfxdata="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vDqxNUAAAAIAQAADwAAAAAA&#10;AAABACAAAAAiAAAAZHJzL2Rvd25yZXYueG1sUEsBAhQAFAAAAAgAh07iQG9rqg9PAgAAkQQAAA4A&#10;AAAAAAAAAQAgAAAAJAEAAGRycy9lMm9Eb2MueG1sUEsFBgAAAAAGAAYAWQEAAOU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点击进入填报</w:t>
                      </w:r>
                    </w:p>
                  </w:txbxContent>
                </v:textbox>
              </v:shape>
            </w:pict>
          </mc:Fallback>
        </mc:AlternateContent>
      </w:r>
      <w:r>
        <w:rPr>
          <w:sz w:val="30"/>
        </w:rPr>
        <mc:AlternateContent>
          <mc:Choice Requires="wps">
            <w:drawing>
              <wp:anchor distT="0" distB="0" distL="114300" distR="114300" simplePos="0" relativeHeight="251671552" behindDoc="0" locked="0" layoutInCell="1" allowOverlap="1">
                <wp:simplePos x="0" y="0"/>
                <wp:positionH relativeFrom="column">
                  <wp:posOffset>3057525</wp:posOffset>
                </wp:positionH>
                <wp:positionV relativeFrom="paragraph">
                  <wp:posOffset>48895</wp:posOffset>
                </wp:positionV>
                <wp:extent cx="1511935" cy="296545"/>
                <wp:effectExtent l="0" t="0" r="12065" b="8255"/>
                <wp:wrapNone/>
                <wp:docPr id="15" name="文本框 15"/>
                <wp:cNvGraphicFramePr/>
                <a:graphic xmlns:a="http://schemas.openxmlformats.org/drawingml/2006/main">
                  <a:graphicData uri="http://schemas.microsoft.com/office/word/2010/wordprocessingShape">
                    <wps:wsp>
                      <wps:cNvSpPr txBox="1"/>
                      <wps:spPr>
                        <a:xfrm>
                          <a:off x="5701665" y="4577715"/>
                          <a:ext cx="1511935" cy="296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显示报表状态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75pt;margin-top:3.85pt;height:23.35pt;width:119.05pt;z-index:251671552;mso-width-relative:page;mso-height-relative:page;" fillcolor="#FFFFFF [3201]" filled="t" stroked="f" coordsize="21600,21600" o:gfxdata="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vbX/rU&#10;AAAACAEAAA8AAAAAAAAAAQAgAAAAIgAAAGRycy9kb3ducmV2LnhtbFBLAQIUABQAAAAIAIdO4kB8&#10;ueVDXQIAAJ0EAAAOAAAAAAAAAAEAIAAAACMBAABkcnMvZTJvRG9jLnhtbFBLBQYAAAAABgAGAFkB&#10;AADyBQAAAAA=&#10;">
                <v:fill on="t" focussize="0,0"/>
                <v:stroke on="f" weight="0.5pt"/>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显示报表状态</w:t>
                      </w:r>
                    </w:p>
                  </w:txbxContent>
                </v:textbox>
              </v:shape>
            </w:pict>
          </mc:Fallback>
        </mc:AlternateContent>
      </w:r>
      <w:r>
        <w:rPr>
          <w:sz w:val="30"/>
        </w:rPr>
        <mc:AlternateContent>
          <mc:Choice Requires="wps">
            <w:drawing>
              <wp:anchor distT="0" distB="0" distL="114300" distR="114300" simplePos="0" relativeHeight="251672576" behindDoc="0" locked="0" layoutInCell="1" allowOverlap="1">
                <wp:simplePos x="0" y="0"/>
                <wp:positionH relativeFrom="column">
                  <wp:posOffset>1722755</wp:posOffset>
                </wp:positionH>
                <wp:positionV relativeFrom="paragraph">
                  <wp:posOffset>50165</wp:posOffset>
                </wp:positionV>
                <wp:extent cx="1341120" cy="285750"/>
                <wp:effectExtent l="0" t="0" r="11430" b="0"/>
                <wp:wrapNone/>
                <wp:docPr id="18" name="文本框 18"/>
                <wp:cNvGraphicFramePr/>
                <a:graphic xmlns:a="http://schemas.openxmlformats.org/drawingml/2006/main">
                  <a:graphicData uri="http://schemas.microsoft.com/office/word/2010/wordprocessingShape">
                    <wps:wsp>
                      <wps:cNvSpPr txBox="1"/>
                      <wps:spPr>
                        <a:xfrm>
                          <a:off x="0" y="0"/>
                          <a:ext cx="134112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注意截止日期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65pt;margin-top:3.95pt;height:22.5pt;width:105.6pt;z-index:251672576;mso-width-relative:page;mso-height-relative:page;" fillcolor="#FFFFFF [3201]" filled="t" stroked="f" coordsize="21600,21600" o:gfxdata="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ICTl9UAAAAIAQAADwAAAAAA&#10;AAABACAAAAAiAAAAZHJzL2Rvd25yZXYueG1sUEsBAhQAFAAAAAgAh07iQFzGS7xPAgAAkQQAAA4A&#10;AAAAAAAAAQAgAAAAJAEAAGRycy9lMm9Eb2MueG1sUEsFBgAAAAAGAAYAWQEAAOUFAAAAAA==&#10;">
                <v:fill on="t" focussize="0,0"/>
                <v:stroke on="f" weight="0.5pt"/>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注意截止日期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宋体" w:hAnsi="宋体" w:eastAsia="宋体" w:cs="宋体"/>
          <w:b w:val="0"/>
          <w:bCs w:val="0"/>
          <w:color w:val="000000"/>
          <w:spacing w:val="2"/>
          <w:kern w:val="0"/>
          <w:sz w:val="30"/>
          <w:szCs w:val="30"/>
          <w:lang w:val="en-US" w:eastAsia="zh-CN"/>
        </w:rPr>
      </w:pPr>
      <w:r>
        <w:drawing>
          <wp:anchor distT="0" distB="0" distL="114300" distR="114300" simplePos="0" relativeHeight="251664384" behindDoc="0" locked="0" layoutInCell="1" allowOverlap="1">
            <wp:simplePos x="0" y="0"/>
            <wp:positionH relativeFrom="column">
              <wp:posOffset>-215900</wp:posOffset>
            </wp:positionH>
            <wp:positionV relativeFrom="paragraph">
              <wp:posOffset>94615</wp:posOffset>
            </wp:positionV>
            <wp:extent cx="5891530" cy="4737100"/>
            <wp:effectExtent l="0" t="0" r="13970" b="6350"/>
            <wp:wrapNone/>
            <wp:docPr id="11" name="图片 7" descr="C:\Users\马克图布\Desktop\7bdaa0e7dbc7fa34dbbcf2ffb9c4119.png7bdaa0e7dbc7fa34dbbcf2ffb9c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C:\Users\马克图布\Desktop\7bdaa0e7dbc7fa34dbbcf2ffb9c4119.png7bdaa0e7dbc7fa34dbbcf2ffb9c4119"/>
                    <pic:cNvPicPr>
                      <a:picLocks noChangeAspect="1"/>
                    </pic:cNvPicPr>
                  </pic:nvPicPr>
                  <pic:blipFill>
                    <a:blip r:embed="rId16"/>
                    <a:srcRect/>
                    <a:stretch>
                      <a:fillRect/>
                    </a:stretch>
                  </pic:blipFill>
                  <pic:spPr>
                    <a:xfrm>
                      <a:off x="0" y="0"/>
                      <a:ext cx="5891530" cy="47371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000000"/>
          <w:spacing w:val="2"/>
          <w:kern w:val="0"/>
          <w:sz w:val="30"/>
          <w:szCs w:val="30"/>
          <w:lang w:val="en-US" w:eastAsia="zh-CN"/>
        </w:rPr>
      </w:pPr>
      <w:r>
        <w:rPr>
          <w:sz w:val="30"/>
        </w:rPr>
        <mc:AlternateContent>
          <mc:Choice Requires="wps">
            <w:drawing>
              <wp:anchor distT="0" distB="0" distL="114300" distR="114300" simplePos="0" relativeHeight="251680768" behindDoc="0" locked="0" layoutInCell="1" allowOverlap="1">
                <wp:simplePos x="0" y="0"/>
                <wp:positionH relativeFrom="column">
                  <wp:posOffset>-335280</wp:posOffset>
                </wp:positionH>
                <wp:positionV relativeFrom="paragraph">
                  <wp:posOffset>290830</wp:posOffset>
                </wp:positionV>
                <wp:extent cx="2181860" cy="530225"/>
                <wp:effectExtent l="0" t="0" r="8890" b="3175"/>
                <wp:wrapNone/>
                <wp:docPr id="27" name="文本框 27"/>
                <wp:cNvGraphicFramePr/>
                <a:graphic xmlns:a="http://schemas.openxmlformats.org/drawingml/2006/main">
                  <a:graphicData uri="http://schemas.microsoft.com/office/word/2010/wordprocessingShape">
                    <wps:wsp>
                      <wps:cNvSpPr txBox="1"/>
                      <wps:spPr>
                        <a:xfrm>
                          <a:off x="0" y="0"/>
                          <a:ext cx="2181860" cy="530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注意所在园区代码必填，对应代码见表格下方填报说明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22.9pt;height:41.75pt;width:171.8pt;z-index:251680768;mso-width-relative:page;mso-height-relative:page;" fillcolor="#FFFFFF [3201]" filled="t" stroked="f" coordsize="21600,21600" o:gfxdata="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YH1t1QAAAAoBAAAPAAAA&#10;AAAAAAEAIAAAACIAAABkcnMvZG93bnJldi54bWxQSwECFAAUAAAACACHTuJA3dz7D1ECAACRBAAA&#10;DgAAAAAAAAABACAAAAAkAQAAZHJzL2Uyb0RvYy54bWxQSwUGAAAAAAYABgBZAQAA5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注意所在园区代码必填，对应代码见表格下方填报说明</w:t>
                      </w:r>
                    </w:p>
                  </w:txbxContent>
                </v:textbox>
              </v:shape>
            </w:pict>
          </mc:Fallback>
        </mc:AlternateContent>
      </w:r>
    </w:p>
    <w:p>
      <w:pPr>
        <w:pStyle w:val="2"/>
        <w:rPr>
          <w:rFonts w:hint="eastAsia" w:ascii="宋体" w:hAnsi="宋体" w:eastAsia="宋体" w:cs="宋体"/>
          <w:b/>
          <w:bCs/>
          <w:color w:val="000000"/>
          <w:spacing w:val="2"/>
          <w:kern w:val="0"/>
          <w:sz w:val="30"/>
          <w:szCs w:val="30"/>
          <w:lang w:val="en-US" w:eastAsia="zh-CN"/>
        </w:rPr>
      </w:pPr>
    </w:p>
    <w:p>
      <w:pPr>
        <w:pStyle w:val="2"/>
        <w:rPr>
          <w:rFonts w:hint="eastAsia" w:ascii="宋体" w:hAnsi="宋体" w:eastAsia="宋体" w:cs="宋体"/>
          <w:b/>
          <w:bCs/>
          <w:color w:val="000000"/>
          <w:spacing w:val="2"/>
          <w:kern w:val="0"/>
          <w:sz w:val="30"/>
          <w:szCs w:val="30"/>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248285</wp:posOffset>
                </wp:positionH>
                <wp:positionV relativeFrom="paragraph">
                  <wp:posOffset>193675</wp:posOffset>
                </wp:positionV>
                <wp:extent cx="1635760" cy="169545"/>
                <wp:effectExtent l="12700" t="12700" r="27940" b="27305"/>
                <wp:wrapNone/>
                <wp:docPr id="26" name="矩形 26"/>
                <wp:cNvGraphicFramePr/>
                <a:graphic xmlns:a="http://schemas.openxmlformats.org/drawingml/2006/main">
                  <a:graphicData uri="http://schemas.microsoft.com/office/word/2010/wordprocessingShape">
                    <wps:wsp>
                      <wps:cNvSpPr/>
                      <wps:spPr>
                        <a:xfrm>
                          <a:off x="0" y="0"/>
                          <a:ext cx="1635760" cy="169545"/>
                        </a:xfrm>
                        <a:prstGeom prst="rect">
                          <a:avLst/>
                        </a:prstGeom>
                        <a:noFill/>
                        <a:ln w="254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5pt;margin-top:15.25pt;height:13.35pt;width:128.8pt;z-index:251679744;v-text-anchor:middle;mso-width-relative:page;mso-height-relative:page;" filled="f" stroked="t" coordsize="21600,21600" o:gfxdata="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19sFtNkAAAAIAQAADwAAAAAAAAABACAAAAAiAAAAZHJzL2Rvd25yZXYu&#10;eG1sUEsBAhQAFAAAAAgAh07iQE44au5sAgAAzQQAAA4AAAAAAAAAAQAgAAAAKAEAAGRycy9lMm9E&#10;b2MueG1sUEsFBgAAAAAGAAYAWQEAAAYGAAAAAA==&#10;">
                <v:fill on="f" focussize="0,0"/>
                <v:stroke weight="2pt" color="#FF0000 [3209]" miterlimit="8" joinstyle="miter"/>
                <v:imagedata o:title=""/>
                <o:lock v:ext="edit" aspectratio="f"/>
              </v:rect>
            </w:pict>
          </mc:Fallback>
        </mc:AlternateContent>
      </w:r>
    </w:p>
    <w:p>
      <w:pPr>
        <w:pStyle w:val="2"/>
        <w:rPr>
          <w:rFonts w:hint="eastAsia" w:ascii="宋体" w:hAnsi="宋体" w:eastAsia="宋体" w:cs="宋体"/>
          <w:b/>
          <w:bCs/>
          <w:color w:val="000000"/>
          <w:spacing w:val="2"/>
          <w:kern w:val="0"/>
          <w:sz w:val="30"/>
          <w:szCs w:val="30"/>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1132840</wp:posOffset>
                </wp:positionH>
                <wp:positionV relativeFrom="paragraph">
                  <wp:posOffset>193040</wp:posOffset>
                </wp:positionV>
                <wp:extent cx="321310" cy="1455420"/>
                <wp:effectExtent l="12700" t="12700" r="27940" b="17780"/>
                <wp:wrapNone/>
                <wp:docPr id="23" name="矩形 23"/>
                <wp:cNvGraphicFramePr/>
                <a:graphic xmlns:a="http://schemas.openxmlformats.org/drawingml/2006/main">
                  <a:graphicData uri="http://schemas.microsoft.com/office/word/2010/wordprocessingShape">
                    <wps:wsp>
                      <wps:cNvSpPr/>
                      <wps:spPr>
                        <a:xfrm>
                          <a:off x="0" y="0"/>
                          <a:ext cx="321310" cy="1455420"/>
                        </a:xfrm>
                        <a:prstGeom prst="rect">
                          <a:avLst/>
                        </a:prstGeom>
                        <a:noFill/>
                        <a:ln w="254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15.2pt;height:114.6pt;width:25.3pt;z-index:251677696;v-text-anchor:middle;mso-width-relative:page;mso-height-relative:page;" filled="f" stroked="t" coordsize="21600,21600" o:gfxdata="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7uMPtkAAAAKAQAADwAAAAAAAAABACAAAAAiAAAAZHJzL2Rvd25yZXYu&#10;eG1sUEsBAhQAFAAAAAgAh07iQMJNxmxsAgAAzQQAAA4AAAAAAAAAAQAgAAAAKAEAAGRycy9lMm9E&#10;b2MueG1sUEsFBgAAAAAGAAYAWQEAAAYGAAAAAA==&#10;">
                <v:fill on="f" focussize="0,0"/>
                <v:stroke weight="2pt" color="#FF0000 [3209]" miterlimit="8" joinstyle="miter"/>
                <v:imagedata o:title=""/>
                <o:lock v:ext="edit" aspectratio="f"/>
              </v:rect>
            </w:pict>
          </mc:Fallback>
        </mc:AlternateContent>
      </w:r>
    </w:p>
    <w:p>
      <w:pPr>
        <w:pStyle w:val="2"/>
        <w:rPr>
          <w:rFonts w:hint="eastAsia" w:ascii="宋体" w:hAnsi="宋体" w:eastAsia="宋体" w:cs="宋体"/>
          <w:b/>
          <w:bCs/>
          <w:color w:val="000000"/>
          <w:spacing w:val="2"/>
          <w:kern w:val="0"/>
          <w:sz w:val="30"/>
          <w:szCs w:val="30"/>
          <w:lang w:val="en-US" w:eastAsia="zh-CN"/>
        </w:rPr>
      </w:pPr>
      <w:r>
        <w:rPr>
          <w:rFonts w:hint="eastAsia" w:ascii="宋体" w:hAnsi="宋体" w:eastAsia="宋体" w:cs="宋体"/>
          <w:sz w:val="21"/>
        </w:rPr>
        <mc:AlternateContent>
          <mc:Choice Requires="wps">
            <w:drawing>
              <wp:anchor distT="0" distB="0" distL="114300" distR="114300" simplePos="0" relativeHeight="251667456" behindDoc="0" locked="0" layoutInCell="1" allowOverlap="1">
                <wp:simplePos x="0" y="0"/>
                <wp:positionH relativeFrom="column">
                  <wp:posOffset>2804160</wp:posOffset>
                </wp:positionH>
                <wp:positionV relativeFrom="paragraph">
                  <wp:posOffset>239395</wp:posOffset>
                </wp:positionV>
                <wp:extent cx="1662430" cy="486410"/>
                <wp:effectExtent l="0" t="0" r="13970" b="8890"/>
                <wp:wrapNone/>
                <wp:docPr id="25" name="文本框 25"/>
                <wp:cNvGraphicFramePr/>
                <a:graphic xmlns:a="http://schemas.openxmlformats.org/drawingml/2006/main">
                  <a:graphicData uri="http://schemas.microsoft.com/office/word/2010/wordprocessingShape">
                    <wps:wsp>
                      <wps:cNvSpPr txBox="1"/>
                      <wps:spPr>
                        <a:xfrm>
                          <a:off x="0" y="0"/>
                          <a:ext cx="1662430" cy="48641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表格空白处所有指标必填，否则无法提交！</w:t>
                            </w:r>
                          </w:p>
                          <w:p>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220.8pt;margin-top:18.85pt;height:38.3pt;width:130.9pt;z-index:251667456;mso-width-relative:page;mso-height-relative:page;" fillcolor="#FFFFFF" filled="t" stroked="f" coordsize="21600,21600" o:gfxdata="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pU/RtcAAAAKAQAADwAAAAAAAAABACAAAAAiAAAAZHJzL2Rvd25yZXYu&#10;eG1sUEsBAhQAFAAAAAgAh07iQL1KwCjDAQAAeQMAAA4AAAAAAAAAAQAgAAAAJgEAAGRycy9lMm9E&#10;b2MueG1sUEsFBgAAAAAGAAYAWQEAAFs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表格空白处所有指标必填，否则无法提交！</w:t>
                      </w:r>
                    </w:p>
                    <w:p>
                      <w:pPr>
                        <w:rPr>
                          <w:rFonts w:hint="default"/>
                          <w:lang w:val="en-US" w:eastAsia="zh-CN"/>
                        </w:rPr>
                      </w:pPr>
                    </w:p>
                  </w:txbxContent>
                </v:textbox>
              </v:shape>
            </w:pict>
          </mc:Fallback>
        </mc:AlternateContent>
      </w:r>
    </w:p>
    <w:p>
      <w:pPr>
        <w:pStyle w:val="2"/>
        <w:rPr>
          <w:rFonts w:hint="eastAsia" w:ascii="宋体" w:hAnsi="宋体" w:eastAsia="宋体" w:cs="宋体"/>
          <w:b/>
          <w:bCs/>
          <w:color w:val="000000"/>
          <w:spacing w:val="2"/>
          <w:kern w:val="0"/>
          <w:sz w:val="30"/>
          <w:szCs w:val="30"/>
          <w:lang w:val="en-US" w:eastAsia="zh-CN"/>
        </w:rPr>
      </w:pPr>
      <w:r>
        <w:rPr>
          <w:sz w:val="30"/>
        </w:rPr>
        <mc:AlternateContent>
          <mc:Choice Requires="wps">
            <w:drawing>
              <wp:anchor distT="0" distB="0" distL="114300" distR="114300" simplePos="0" relativeHeight="251678720" behindDoc="0" locked="0" layoutInCell="1" allowOverlap="1">
                <wp:simplePos x="0" y="0"/>
                <wp:positionH relativeFrom="column">
                  <wp:posOffset>1586865</wp:posOffset>
                </wp:positionH>
                <wp:positionV relativeFrom="paragraph">
                  <wp:posOffset>146050</wp:posOffset>
                </wp:positionV>
                <wp:extent cx="1131570" cy="529590"/>
                <wp:effectExtent l="0" t="0" r="11430" b="3810"/>
                <wp:wrapNone/>
                <wp:docPr id="24" name="文本框 24"/>
                <wp:cNvGraphicFramePr/>
                <a:graphic xmlns:a="http://schemas.openxmlformats.org/drawingml/2006/main">
                  <a:graphicData uri="http://schemas.microsoft.com/office/word/2010/wordprocessingShape">
                    <wps:wsp>
                      <wps:cNvSpPr txBox="1"/>
                      <wps:spPr>
                        <a:xfrm>
                          <a:off x="0" y="0"/>
                          <a:ext cx="1131570" cy="529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注意金额计量单位为千元！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95pt;margin-top:11.5pt;height:41.7pt;width:89.1pt;z-index:251678720;mso-width-relative:page;mso-height-relative:page;" fillcolor="#FFFFFF [3201]" filled="t" stroked="f" coordsize="21600,21600" o:gfxdata="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HpZJXVAAAACgEAAA8A&#10;AAAAAAAAAQAgAAAAIgAAAGRycy9kb3ducmV2LnhtbFBLAQIUABQAAAAIAIdO4kDCMI2sUwIAAJEE&#10;AAAOAAAAAAAAAAEAIAAAACQBAABkcnMvZTJvRG9jLnhtbFBLBQYAAAAABgAGAFkBAADp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注意金额计量单位为千元！</w:t>
                      </w:r>
                    </w:p>
                  </w:txbxContent>
                </v:textbox>
              </v:shape>
            </w:pict>
          </mc:Fallback>
        </mc:AlternateContent>
      </w:r>
    </w:p>
    <w:p>
      <w:pPr>
        <w:pStyle w:val="2"/>
        <w:rPr>
          <w:rFonts w:hint="eastAsia" w:ascii="宋体" w:hAnsi="宋体" w:eastAsia="宋体" w:cs="宋体"/>
          <w:b/>
          <w:bCs/>
          <w:color w:val="000000"/>
          <w:spacing w:val="2"/>
          <w:kern w:val="0"/>
          <w:sz w:val="30"/>
          <w:szCs w:val="30"/>
          <w:lang w:val="en-US" w:eastAsia="zh-CN"/>
        </w:rPr>
      </w:pPr>
    </w:p>
    <w:p>
      <w:pPr>
        <w:pStyle w:val="2"/>
        <w:rPr>
          <w:rFonts w:hint="eastAsia" w:ascii="宋体" w:hAnsi="宋体" w:eastAsia="宋体" w:cs="宋体"/>
          <w:b/>
          <w:bCs/>
          <w:color w:val="000000"/>
          <w:spacing w:val="2"/>
          <w:kern w:val="0"/>
          <w:sz w:val="30"/>
          <w:szCs w:val="30"/>
          <w:lang w:val="en-US" w:eastAsia="zh-CN"/>
        </w:rPr>
      </w:pPr>
    </w:p>
    <w:p>
      <w:pPr>
        <w:pStyle w:val="2"/>
        <w:rPr>
          <w:rFonts w:hint="eastAsia" w:ascii="宋体" w:hAnsi="宋体" w:eastAsia="宋体" w:cs="宋体"/>
          <w:b/>
          <w:bCs/>
          <w:color w:val="000000"/>
          <w:spacing w:val="2"/>
          <w:kern w:val="0"/>
          <w:sz w:val="30"/>
          <w:szCs w:val="30"/>
          <w:lang w:val="en-US" w:eastAsia="zh-CN"/>
        </w:rPr>
      </w:pPr>
      <w:r>
        <w:drawing>
          <wp:anchor distT="0" distB="0" distL="114300" distR="114300" simplePos="0" relativeHeight="251683840" behindDoc="0" locked="0" layoutInCell="1" allowOverlap="1">
            <wp:simplePos x="0" y="0"/>
            <wp:positionH relativeFrom="column">
              <wp:posOffset>-164465</wp:posOffset>
            </wp:positionH>
            <wp:positionV relativeFrom="paragraph">
              <wp:posOffset>366395</wp:posOffset>
            </wp:positionV>
            <wp:extent cx="5697220" cy="1545590"/>
            <wp:effectExtent l="12700" t="12700" r="24130" b="22860"/>
            <wp:wrapNone/>
            <wp:docPr id="21" name="图片 9" descr="C:\Users\马克图布\Desktop\7419aadd9cdd3ccf78eee7381b4e4cc.png7419aadd9cdd3ccf78eee7381b4e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C:\Users\马克图布\Desktop\7419aadd9cdd3ccf78eee7381b4e4cc.png7419aadd9cdd3ccf78eee7381b4e4cc"/>
                    <pic:cNvPicPr>
                      <a:picLocks noChangeAspect="1"/>
                    </pic:cNvPicPr>
                  </pic:nvPicPr>
                  <pic:blipFill>
                    <a:blip r:embed="rId17"/>
                    <a:srcRect/>
                    <a:stretch>
                      <a:fillRect/>
                    </a:stretch>
                  </pic:blipFill>
                  <pic:spPr>
                    <a:xfrm>
                      <a:off x="0" y="0"/>
                      <a:ext cx="5697220" cy="1545590"/>
                    </a:xfrm>
                    <a:prstGeom prst="rect">
                      <a:avLst/>
                    </a:prstGeom>
                    <a:noFill/>
                    <a:ln w="12700" cmpd="sng">
                      <a:solidFill>
                        <a:schemeClr val="tx1"/>
                      </a:solidFill>
                      <a:prstDash val="solid"/>
                    </a:ln>
                  </pic:spPr>
                </pic:pic>
              </a:graphicData>
            </a:graphic>
          </wp:anchor>
        </w:drawing>
      </w:r>
    </w:p>
    <w:p>
      <w:pPr>
        <w:pStyle w:val="2"/>
        <w:rPr>
          <w:rFonts w:hint="eastAsia" w:ascii="宋体" w:hAnsi="宋体" w:eastAsia="宋体" w:cs="宋体"/>
          <w:b/>
          <w:bCs/>
          <w:color w:val="000000"/>
          <w:spacing w:val="2"/>
          <w:kern w:val="0"/>
          <w:sz w:val="30"/>
          <w:szCs w:val="30"/>
          <w:lang w:val="en-US" w:eastAsia="zh-CN"/>
        </w:rPr>
      </w:pPr>
    </w:p>
    <w:p>
      <w:pPr>
        <w:pStyle w:val="2"/>
        <w:rPr>
          <w:rFonts w:hint="eastAsia" w:ascii="宋体" w:hAnsi="宋体" w:eastAsia="宋体" w:cs="宋体"/>
          <w:b/>
          <w:bCs/>
          <w:color w:val="000000"/>
          <w:spacing w:val="2"/>
          <w:kern w:val="0"/>
          <w:sz w:val="30"/>
          <w:szCs w:val="30"/>
          <w:lang w:val="en-US" w:eastAsia="zh-CN"/>
        </w:rPr>
      </w:pPr>
    </w:p>
    <w:p>
      <w:pPr>
        <w:pStyle w:val="2"/>
        <w:rPr>
          <w:rFonts w:hint="eastAsia" w:ascii="宋体" w:hAnsi="宋体" w:eastAsia="宋体" w:cs="宋体"/>
          <w:b/>
          <w:bCs/>
          <w:color w:val="000000"/>
          <w:spacing w:val="2"/>
          <w:kern w:val="0"/>
          <w:sz w:val="30"/>
          <w:szCs w:val="30"/>
          <w:lang w:val="en-US" w:eastAsia="zh-CN"/>
        </w:rPr>
      </w:pPr>
    </w:p>
    <w:p>
      <w:pPr>
        <w:pStyle w:val="2"/>
        <w:jc w:val="center"/>
        <w:rPr>
          <w:rFonts w:hint="default" w:ascii="宋体" w:hAnsi="宋体" w:eastAsia="宋体" w:cs="宋体"/>
          <w:b/>
          <w:bCs/>
          <w:color w:val="FF0000"/>
          <w:spacing w:val="2"/>
          <w:kern w:val="0"/>
          <w:sz w:val="28"/>
          <w:szCs w:val="28"/>
          <w:u w:val="none"/>
          <w:lang w:val="en-US" w:eastAsia="zh-CN" w:bidi="ar-SA"/>
        </w:rPr>
      </w:pPr>
      <w:r>
        <w:rPr>
          <w:rFonts w:hint="eastAsia" w:ascii="宋体" w:hAnsi="宋体" w:eastAsia="宋体" w:cs="宋体"/>
          <w:b/>
          <w:bCs/>
          <w:color w:val="FF0000"/>
          <w:spacing w:val="2"/>
          <w:kern w:val="0"/>
          <w:sz w:val="28"/>
          <w:szCs w:val="28"/>
          <w:u w:val="none"/>
          <w:lang w:val="en-US" w:eastAsia="zh-CN" w:bidi="ar-SA"/>
        </w:rPr>
        <w:t>注意：表格下方附带填表说明，务必先阅读填表说明后再进行填报。</w:t>
      </w:r>
    </w:p>
    <w:p>
      <w:pPr>
        <w:pStyle w:val="2"/>
        <w:rPr>
          <w:rFonts w:hint="eastAsia" w:ascii="宋体" w:hAnsi="宋体" w:eastAsia="宋体" w:cs="宋体"/>
          <w:b/>
          <w:bCs/>
          <w:color w:val="000000"/>
          <w:spacing w:val="2"/>
          <w:kern w:val="0"/>
          <w:sz w:val="30"/>
          <w:szCs w:val="30"/>
          <w:lang w:val="en-US" w:eastAsia="zh-CN"/>
        </w:rPr>
      </w:pPr>
      <w:r>
        <w:rPr>
          <w:sz w:val="20"/>
          <w:szCs w:val="21"/>
        </w:rPr>
        <w:drawing>
          <wp:anchor distT="0" distB="0" distL="114300" distR="114300" simplePos="0" relativeHeight="251663360" behindDoc="0" locked="0" layoutInCell="1" allowOverlap="1">
            <wp:simplePos x="0" y="0"/>
            <wp:positionH relativeFrom="column">
              <wp:posOffset>-222885</wp:posOffset>
            </wp:positionH>
            <wp:positionV relativeFrom="paragraph">
              <wp:posOffset>123825</wp:posOffset>
            </wp:positionV>
            <wp:extent cx="5784215" cy="2588895"/>
            <wp:effectExtent l="0" t="0" r="6985" b="1905"/>
            <wp:wrapNone/>
            <wp:docPr id="22" name="图片 10" descr="C:\Users\马克图布\Desktop\d3f2190cdc38786690597d0d751c08d.pngd3f2190cdc38786690597d0d751c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C:\Users\马克图布\Desktop\d3f2190cdc38786690597d0d751c08d.pngd3f2190cdc38786690597d0d751c08d"/>
                    <pic:cNvPicPr>
                      <a:picLocks noChangeAspect="1"/>
                    </pic:cNvPicPr>
                  </pic:nvPicPr>
                  <pic:blipFill>
                    <a:blip r:embed="rId18"/>
                    <a:srcRect/>
                    <a:stretch>
                      <a:fillRect/>
                    </a:stretch>
                  </pic:blipFill>
                  <pic:spPr>
                    <a:xfrm>
                      <a:off x="0" y="0"/>
                      <a:ext cx="5784215" cy="2588895"/>
                    </a:xfrm>
                    <a:prstGeom prst="rect">
                      <a:avLst/>
                    </a:prstGeom>
                    <a:noFill/>
                    <a:ln>
                      <a:noFill/>
                    </a:ln>
                  </pic:spPr>
                </pic:pic>
              </a:graphicData>
            </a:graphic>
          </wp:anchor>
        </w:drawing>
      </w:r>
    </w:p>
    <w:p>
      <w:pPr>
        <w:pStyle w:val="2"/>
        <w:rPr>
          <w:rFonts w:hint="eastAsia" w:ascii="宋体" w:hAnsi="宋体" w:eastAsia="宋体" w:cs="宋体"/>
          <w:b/>
          <w:bCs/>
          <w:color w:val="000000"/>
          <w:spacing w:val="2"/>
          <w:kern w:val="0"/>
          <w:sz w:val="30"/>
          <w:szCs w:val="30"/>
          <w:lang w:val="en-US" w:eastAsia="zh-CN"/>
        </w:rPr>
      </w:pPr>
    </w:p>
    <w:p>
      <w:pPr>
        <w:pStyle w:val="2"/>
        <w:rPr>
          <w:rFonts w:hint="eastAsia" w:ascii="宋体" w:hAnsi="宋体" w:eastAsia="宋体" w:cs="宋体"/>
          <w:b/>
          <w:bCs/>
          <w:color w:val="000000"/>
          <w:spacing w:val="2"/>
          <w:kern w:val="0"/>
          <w:sz w:val="30"/>
          <w:szCs w:val="30"/>
          <w:lang w:val="en-US" w:eastAsia="zh-CN"/>
        </w:rPr>
      </w:pPr>
      <w:r>
        <w:rPr>
          <w:sz w:val="30"/>
        </w:rPr>
        <mc:AlternateContent>
          <mc:Choice Requires="wps">
            <w:drawing>
              <wp:anchor distT="0" distB="0" distL="114300" distR="114300" simplePos="0" relativeHeight="251681792" behindDoc="0" locked="0" layoutInCell="1" allowOverlap="1">
                <wp:simplePos x="0" y="0"/>
                <wp:positionH relativeFrom="column">
                  <wp:posOffset>4134485</wp:posOffset>
                </wp:positionH>
                <wp:positionV relativeFrom="paragraph">
                  <wp:posOffset>229235</wp:posOffset>
                </wp:positionV>
                <wp:extent cx="333375" cy="319405"/>
                <wp:effectExtent l="10795" t="0" r="17780" b="23495"/>
                <wp:wrapNone/>
                <wp:docPr id="29" name="直接箭头连接符 29"/>
                <wp:cNvGraphicFramePr/>
                <a:graphic xmlns:a="http://schemas.openxmlformats.org/drawingml/2006/main">
                  <a:graphicData uri="http://schemas.microsoft.com/office/word/2010/wordprocessingShape">
                    <wps:wsp>
                      <wps:cNvCnPr/>
                      <wps:spPr>
                        <a:xfrm flipV="1">
                          <a:off x="0" y="0"/>
                          <a:ext cx="333375" cy="319405"/>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5.55pt;margin-top:18.05pt;height:25.15pt;width:26.25pt;z-index:251681792;mso-width-relative:page;mso-height-relative:page;" filled="f" stroked="t" coordsize="21600,21600" o:gfxdata="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eQEW2AAAAAkBAAAPAAAAAAAA&#10;AAEAIAAAACIAAABkcnMvZG93bnJldi54bWxQSwECFAAUAAAACACHTuJAecRodBICAADvAwAADgAA&#10;AAAAAAABACAAAAAnAQAAZHJzL2Uyb0RvYy54bWxQSwUGAAAAAAYABgBZAQAAqwUAAAAA&#10;">
                <v:fill on="f" focussize="0,0"/>
                <v:stroke weight="2.5pt" color="#FF0000 [3204]" miterlimit="8" joinstyle="miter" endarrow="open"/>
                <v:imagedata o:title=""/>
                <o:lock v:ext="edit" aspectratio="f"/>
              </v:shape>
            </w:pict>
          </mc:Fallback>
        </mc:AlternateContent>
      </w:r>
    </w:p>
    <w:p>
      <w:pPr>
        <w:pStyle w:val="2"/>
        <w:rPr>
          <w:rFonts w:hint="eastAsia" w:ascii="宋体" w:hAnsi="宋体" w:eastAsia="宋体" w:cs="宋体"/>
          <w:b/>
          <w:bCs/>
          <w:color w:val="000000"/>
          <w:spacing w:val="2"/>
          <w:kern w:val="0"/>
          <w:sz w:val="30"/>
          <w:szCs w:val="30"/>
          <w:lang w:val="en-US" w:eastAsia="zh-CN"/>
        </w:rPr>
      </w:pPr>
      <w:r>
        <w:rPr>
          <w:sz w:val="30"/>
        </w:rPr>
        <mc:AlternateContent>
          <mc:Choice Requires="wps">
            <w:drawing>
              <wp:anchor distT="0" distB="0" distL="114300" distR="114300" simplePos="0" relativeHeight="251682816" behindDoc="0" locked="0" layoutInCell="1" allowOverlap="1">
                <wp:simplePos x="0" y="0"/>
                <wp:positionH relativeFrom="column">
                  <wp:posOffset>2447290</wp:posOffset>
                </wp:positionH>
                <wp:positionV relativeFrom="paragraph">
                  <wp:posOffset>158115</wp:posOffset>
                </wp:positionV>
                <wp:extent cx="1859280" cy="276225"/>
                <wp:effectExtent l="0" t="0" r="7620" b="9525"/>
                <wp:wrapNone/>
                <wp:docPr id="30" name="文本框 30"/>
                <wp:cNvGraphicFramePr/>
                <a:graphic xmlns:a="http://schemas.openxmlformats.org/drawingml/2006/main">
                  <a:graphicData uri="http://schemas.microsoft.com/office/word/2010/wordprocessingShape">
                    <wps:wsp>
                      <wps:cNvSpPr txBox="1"/>
                      <wps:spPr>
                        <a:xfrm>
                          <a:off x="0" y="0"/>
                          <a:ext cx="185928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此空必填，否则无法提交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7pt;margin-top:12.45pt;height:21.75pt;width:146.4pt;z-index:251682816;mso-width-relative:page;mso-height-relative:page;" fillcolor="#FFFFFF [3201]" filled="t" stroked="f" coordsize="21600,21600" o:gfxdata="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0u/WTVAAAACQEAAA8AAAAA&#10;AAAAAQAgAAAAIgAAAGRycy9kb3ducmV2LnhtbFBLAQIUABQAAAAIAIdO4kBTaLvqUAIAAJEEAAAO&#10;AAAAAAAAAAEAIAAAACQBAABkcnMvZTJvRG9jLnhtbFBLBQYAAAAABgAGAFkBAADm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此空必填，否则无法提交</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000000"/>
          <w:spacing w:val="2"/>
          <w:kern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000000"/>
          <w:spacing w:val="2"/>
          <w:kern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FF0000"/>
          <w:spacing w:val="2"/>
          <w:kern w:val="0"/>
          <w:sz w:val="28"/>
          <w:szCs w:val="28"/>
          <w:u w:val="none"/>
          <w:lang w:val="en-US" w:eastAsia="zh-CN" w:bidi="ar-SA"/>
        </w:rPr>
        <w:t>注意：表格右上角</w:t>
      </w:r>
      <w:r>
        <w:rPr>
          <w:rFonts w:hint="eastAsia" w:ascii="宋体" w:hAnsi="宋体" w:eastAsia="宋体" w:cs="宋体"/>
          <w:b/>
          <w:bCs/>
          <w:i w:val="0"/>
          <w:caps w:val="0"/>
          <w:color w:val="FF0000"/>
          <w:spacing w:val="2"/>
          <w:kern w:val="0"/>
          <w:sz w:val="28"/>
          <w:szCs w:val="28"/>
          <w:u w:val="none"/>
          <w:shd w:val="clear" w:fill="auto"/>
        </w:rPr>
        <w:t>人才总数</w:t>
      </w:r>
      <w:r>
        <w:rPr>
          <w:rStyle w:val="10"/>
          <w:rFonts w:hint="eastAsia" w:ascii="宋体" w:hAnsi="宋体" w:eastAsia="宋体" w:cs="宋体"/>
          <w:b/>
          <w:bCs/>
          <w:i w:val="0"/>
          <w:caps w:val="0"/>
          <w:color w:val="FF0000"/>
          <w:spacing w:val="2"/>
          <w:kern w:val="0"/>
          <w:sz w:val="28"/>
          <w:szCs w:val="28"/>
          <w:u w:val="none"/>
          <w:shd w:val="clear" w:fill="FFFFFF"/>
        </w:rPr>
        <w:t>必填</w:t>
      </w:r>
      <w:r>
        <w:rPr>
          <w:rFonts w:hint="eastAsia" w:ascii="宋体" w:hAnsi="宋体" w:eastAsia="宋体" w:cs="宋体"/>
          <w:b/>
          <w:bCs/>
          <w:i w:val="0"/>
          <w:caps w:val="0"/>
          <w:color w:val="FF0000"/>
          <w:spacing w:val="2"/>
          <w:kern w:val="0"/>
          <w:sz w:val="28"/>
          <w:szCs w:val="28"/>
          <w:u w:val="none"/>
          <w:shd w:val="clear" w:fill="auto"/>
        </w:rPr>
        <w:t>，</w:t>
      </w:r>
      <w:r>
        <w:rPr>
          <w:rFonts w:hint="eastAsia" w:ascii="宋体" w:hAnsi="宋体" w:eastAsia="宋体" w:cs="宋体"/>
          <w:b/>
          <w:bCs/>
          <w:i w:val="0"/>
          <w:caps w:val="0"/>
          <w:color w:val="FF0000"/>
          <w:spacing w:val="2"/>
          <w:kern w:val="0"/>
          <w:sz w:val="28"/>
          <w:szCs w:val="28"/>
          <w:u w:val="none"/>
          <w:shd w:val="clear"/>
          <w:lang w:eastAsia="zh-CN"/>
        </w:rPr>
        <w:t>否则无法提交</w:t>
      </w:r>
      <w:r>
        <w:rPr>
          <w:rFonts w:hint="eastAsia" w:ascii="宋体" w:hAnsi="宋体" w:eastAsia="宋体" w:cs="宋体"/>
          <w:b/>
          <w:bCs/>
          <w:i w:val="0"/>
          <w:caps w:val="0"/>
          <w:color w:val="FF0000"/>
          <w:spacing w:val="2"/>
          <w:kern w:val="0"/>
          <w:sz w:val="28"/>
          <w:szCs w:val="28"/>
          <w:u w:val="none"/>
          <w:shd w:val="clear" w:fill="auto"/>
        </w:rPr>
        <w:t>。</w:t>
      </w:r>
      <w:r>
        <w:rPr>
          <w:rStyle w:val="10"/>
          <w:rFonts w:hint="eastAsia" w:ascii="宋体" w:hAnsi="宋体" w:eastAsia="宋体" w:cs="宋体"/>
          <w:b/>
          <w:bCs/>
          <w:i w:val="0"/>
          <w:caps w:val="0"/>
          <w:color w:val="FF0000"/>
          <w:spacing w:val="2"/>
          <w:kern w:val="0"/>
          <w:sz w:val="28"/>
          <w:szCs w:val="28"/>
          <w:u w:val="none"/>
          <w:shd w:val="clear" w:fill="FFFFFF"/>
        </w:rPr>
        <w:t>如无</w:t>
      </w:r>
      <w:r>
        <w:rPr>
          <w:rStyle w:val="10"/>
          <w:rFonts w:hint="eastAsia" w:ascii="宋体" w:hAnsi="宋体" w:eastAsia="宋体" w:cs="宋体"/>
          <w:b/>
          <w:bCs/>
          <w:i w:val="0"/>
          <w:caps w:val="0"/>
          <w:color w:val="FF0000"/>
          <w:spacing w:val="2"/>
          <w:kern w:val="0"/>
          <w:sz w:val="28"/>
          <w:szCs w:val="28"/>
          <w:u w:val="none"/>
          <w:shd w:val="clear" w:fill="FFFFFF"/>
          <w:lang w:val="en-US" w:eastAsia="zh-CN"/>
        </w:rPr>
        <w:t>可</w:t>
      </w:r>
      <w:r>
        <w:rPr>
          <w:rStyle w:val="10"/>
          <w:rFonts w:hint="eastAsia" w:ascii="宋体" w:hAnsi="宋体" w:eastAsia="宋体" w:cs="宋体"/>
          <w:b/>
          <w:bCs/>
          <w:i w:val="0"/>
          <w:caps w:val="0"/>
          <w:color w:val="FF0000"/>
          <w:spacing w:val="2"/>
          <w:kern w:val="0"/>
          <w:sz w:val="28"/>
          <w:szCs w:val="28"/>
          <w:u w:val="none"/>
          <w:shd w:val="clear" w:fill="FFFFFF"/>
        </w:rPr>
        <w:t>填0</w:t>
      </w:r>
      <w:r>
        <w:rPr>
          <w:rFonts w:hint="eastAsia" w:ascii="宋体" w:hAnsi="宋体" w:eastAsia="宋体" w:cs="宋体"/>
          <w:b/>
          <w:bCs/>
          <w:i w:val="0"/>
          <w:caps w:val="0"/>
          <w:color w:val="FF0000"/>
          <w:spacing w:val="2"/>
          <w:kern w:val="0"/>
          <w:sz w:val="28"/>
          <w:szCs w:val="28"/>
          <w:u w:val="none"/>
          <w:shd w:val="clear" w:fill="auto"/>
        </w:rPr>
        <w:t>，表格其他内容不用填。</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六、注意事项</w:t>
      </w:r>
    </w:p>
    <w:p>
      <w:pPr>
        <w:keepNext w:val="0"/>
        <w:keepLines w:val="0"/>
        <w:pageBreakBefore w:val="0"/>
        <w:widowControl w:val="0"/>
        <w:numPr>
          <w:ilvl w:val="0"/>
          <w:numId w:val="0"/>
        </w:numPr>
        <w:kinsoku/>
        <w:wordWrap/>
        <w:overflowPunct/>
        <w:topLinePunct w:val="0"/>
        <w:autoSpaceDE/>
        <w:autoSpaceDN/>
        <w:bidi w:val="0"/>
        <w:adjustRightInd/>
        <w:snapToGrid/>
        <w:ind w:firstLine="608" w:firstLineChars="200"/>
        <w:jc w:val="both"/>
        <w:textAlignment w:val="auto"/>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val="0"/>
          <w:bCs w:val="0"/>
          <w:color w:val="000000"/>
          <w:spacing w:val="2"/>
          <w:kern w:val="0"/>
          <w:sz w:val="30"/>
          <w:szCs w:val="30"/>
          <w:lang w:val="en-US" w:eastAsia="zh-CN"/>
        </w:rPr>
        <w:t>1、填报时</w:t>
      </w:r>
      <w:r>
        <w:rPr>
          <w:rFonts w:hint="eastAsia" w:ascii="宋体" w:hAnsi="宋体" w:eastAsia="宋体" w:cs="宋体"/>
          <w:b/>
          <w:bCs/>
          <w:color w:val="000000"/>
          <w:spacing w:val="2"/>
          <w:kern w:val="0"/>
          <w:sz w:val="30"/>
          <w:szCs w:val="30"/>
          <w:lang w:val="en-US" w:eastAsia="zh-CN"/>
        </w:rPr>
        <w:t>务必同时完成</w:t>
      </w:r>
      <w:r>
        <w:rPr>
          <w:rFonts w:hint="eastAsia" w:ascii="宋体" w:hAnsi="宋体" w:eastAsia="宋体" w:cs="宋体"/>
          <w:b w:val="0"/>
          <w:bCs w:val="0"/>
          <w:color w:val="000000"/>
          <w:spacing w:val="2"/>
          <w:kern w:val="0"/>
          <w:sz w:val="30"/>
          <w:szCs w:val="30"/>
          <w:lang w:val="en-US" w:eastAsia="zh-CN"/>
        </w:rPr>
        <w:t>“企业发展及创新情况表（K209-1）”</w:t>
      </w:r>
      <w:r>
        <w:rPr>
          <w:rFonts w:hint="eastAsia" w:ascii="宋体" w:hAnsi="宋体" w:eastAsia="宋体" w:cs="宋体"/>
          <w:b/>
          <w:bCs/>
          <w:color w:val="000000"/>
          <w:spacing w:val="2"/>
          <w:kern w:val="0"/>
          <w:sz w:val="30"/>
          <w:szCs w:val="30"/>
          <w:lang w:val="en-US" w:eastAsia="zh-CN"/>
        </w:rPr>
        <w:t>及</w:t>
      </w:r>
      <w:r>
        <w:rPr>
          <w:rFonts w:hint="eastAsia" w:ascii="宋体" w:hAnsi="宋体" w:eastAsia="宋体" w:cs="宋体"/>
          <w:b w:val="0"/>
          <w:bCs w:val="0"/>
          <w:color w:val="000000"/>
          <w:spacing w:val="2"/>
          <w:kern w:val="0"/>
          <w:sz w:val="30"/>
          <w:szCs w:val="30"/>
          <w:lang w:val="en-US" w:eastAsia="zh-CN"/>
        </w:rPr>
        <w:t>“企业人才情况表（K209-2）”，否则无法提交；</w:t>
      </w:r>
      <w:r>
        <w:rPr>
          <w:rFonts w:hint="eastAsia" w:ascii="宋体" w:hAnsi="宋体" w:eastAsia="宋体" w:cs="宋体"/>
          <w:b/>
          <w:bCs/>
          <w:color w:val="000000"/>
          <w:spacing w:val="2"/>
          <w:kern w:val="0"/>
          <w:sz w:val="30"/>
          <w:szCs w:val="30"/>
          <w:lang w:val="en-US" w:eastAsia="zh-CN"/>
        </w:rPr>
        <w:t>附表中“企业在职人员入选市级以上人才计划总数”指标必填</w:t>
      </w:r>
      <w:r>
        <w:rPr>
          <w:rFonts w:hint="eastAsia" w:ascii="宋体" w:hAnsi="宋体" w:eastAsia="宋体" w:cs="宋体"/>
          <w:b w:val="0"/>
          <w:bCs w:val="0"/>
          <w:color w:val="000000"/>
          <w:spacing w:val="2"/>
          <w:kern w:val="0"/>
          <w:sz w:val="30"/>
          <w:szCs w:val="30"/>
          <w:lang w:val="en-US" w:eastAsia="zh-CN"/>
        </w:rPr>
        <w:t>，如无可填“0”，此空未填也无法提交。</w:t>
      </w:r>
    </w:p>
    <w:p>
      <w:pPr>
        <w:pStyle w:val="2"/>
        <w:ind w:firstLine="608" w:firstLineChars="200"/>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val="0"/>
          <w:bCs w:val="0"/>
          <w:color w:val="000000"/>
          <w:spacing w:val="2"/>
          <w:kern w:val="0"/>
          <w:sz w:val="30"/>
          <w:szCs w:val="30"/>
          <w:lang w:val="en-US" w:eastAsia="zh-CN"/>
        </w:rPr>
        <w:t>2、请使用谷歌（首选）或者360极速浏览器等Chrome内核浏览器（系统不支持IE），如出现填报异常请先尝试更换浏览器或切换浏览模式。</w:t>
      </w:r>
    </w:p>
    <w:p>
      <w:pPr>
        <w:keepNext w:val="0"/>
        <w:keepLines w:val="0"/>
        <w:pageBreakBefore w:val="0"/>
        <w:widowControl w:val="0"/>
        <w:numPr>
          <w:ilvl w:val="0"/>
          <w:numId w:val="0"/>
        </w:numPr>
        <w:kinsoku/>
        <w:wordWrap/>
        <w:overflowPunct/>
        <w:topLinePunct w:val="0"/>
        <w:autoSpaceDE/>
        <w:autoSpaceDN/>
        <w:bidi w:val="0"/>
        <w:adjustRightInd/>
        <w:snapToGrid/>
        <w:ind w:firstLine="608" w:firstLineChars="200"/>
        <w:jc w:val="both"/>
        <w:textAlignment w:val="auto"/>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val="0"/>
          <w:bCs w:val="0"/>
          <w:color w:val="000000"/>
          <w:spacing w:val="2"/>
          <w:kern w:val="0"/>
          <w:sz w:val="30"/>
          <w:szCs w:val="30"/>
          <w:lang w:val="en-US" w:eastAsia="zh-CN"/>
        </w:rPr>
        <w:t>3、系统首次登录（新填报企业）默认密码为</w:t>
      </w:r>
      <w:r>
        <w:rPr>
          <w:rFonts w:hint="eastAsia" w:ascii="宋体" w:hAnsi="宋体" w:eastAsia="宋体" w:cs="宋体"/>
          <w:b w:val="0"/>
          <w:bCs w:val="0"/>
          <w:color w:val="000000"/>
          <w:spacing w:val="2"/>
          <w:kern w:val="0"/>
          <w:sz w:val="30"/>
          <w:szCs w:val="30"/>
          <w:u w:val="single"/>
          <w:lang w:val="en-US" w:eastAsia="zh-CN"/>
        </w:rPr>
        <w:t>abcd1234</w:t>
      </w:r>
      <w:r>
        <w:rPr>
          <w:rFonts w:hint="eastAsia" w:ascii="宋体" w:hAnsi="宋体" w:eastAsia="宋体" w:cs="宋体"/>
          <w:b w:val="0"/>
          <w:bCs w:val="0"/>
          <w:color w:val="000000"/>
          <w:spacing w:val="2"/>
          <w:kern w:val="0"/>
          <w:sz w:val="30"/>
          <w:szCs w:val="30"/>
          <w:lang w:val="en-US" w:eastAsia="zh-CN"/>
        </w:rPr>
        <w:t>，登录后请及时更改密码并完善统计负责人信息，报表通知短信会发至统计负责人手机。</w:t>
      </w:r>
    </w:p>
    <w:p>
      <w:pPr>
        <w:keepNext w:val="0"/>
        <w:keepLines w:val="0"/>
        <w:pageBreakBefore w:val="0"/>
        <w:widowControl w:val="0"/>
        <w:numPr>
          <w:ilvl w:val="0"/>
          <w:numId w:val="0"/>
        </w:numPr>
        <w:kinsoku/>
        <w:wordWrap/>
        <w:overflowPunct/>
        <w:topLinePunct w:val="0"/>
        <w:autoSpaceDE/>
        <w:autoSpaceDN/>
        <w:bidi w:val="0"/>
        <w:adjustRightInd/>
        <w:snapToGrid/>
        <w:ind w:firstLine="608" w:firstLineChars="200"/>
        <w:jc w:val="both"/>
        <w:textAlignment w:val="auto"/>
        <w:rPr>
          <w:rFonts w:hint="default"/>
          <w:lang w:val="en-US" w:eastAsia="zh-CN"/>
        </w:rPr>
      </w:pPr>
      <w:r>
        <w:rPr>
          <w:rFonts w:hint="eastAsia" w:ascii="宋体" w:hAnsi="宋体" w:eastAsia="宋体" w:cs="宋体"/>
          <w:b w:val="0"/>
          <w:bCs w:val="0"/>
          <w:color w:val="000000"/>
          <w:spacing w:val="2"/>
          <w:kern w:val="0"/>
          <w:sz w:val="30"/>
          <w:szCs w:val="30"/>
          <w:lang w:val="en-US" w:eastAsia="zh-CN"/>
        </w:rPr>
        <w:t>4、请注意营收、产值等指标计量单位为</w:t>
      </w:r>
      <w:r>
        <w:rPr>
          <w:rFonts w:hint="eastAsia" w:ascii="宋体" w:hAnsi="宋体" w:eastAsia="宋体" w:cs="宋体"/>
          <w:b/>
          <w:bCs/>
          <w:color w:val="000000"/>
          <w:spacing w:val="2"/>
          <w:kern w:val="0"/>
          <w:sz w:val="30"/>
          <w:szCs w:val="30"/>
          <w:lang w:val="en-US" w:eastAsia="zh-CN"/>
        </w:rPr>
        <w:t>千元</w:t>
      </w:r>
      <w:r>
        <w:rPr>
          <w:rFonts w:hint="eastAsia" w:ascii="宋体" w:hAnsi="宋体" w:eastAsia="宋体" w:cs="宋体"/>
          <w:b w:val="0"/>
          <w:bCs w:val="0"/>
          <w:color w:val="000000"/>
          <w:spacing w:val="2"/>
          <w:kern w:val="0"/>
          <w:sz w:val="30"/>
          <w:szCs w:val="30"/>
          <w:lang w:val="en-US" w:eastAsia="zh-CN"/>
        </w:rPr>
        <w:t>；</w:t>
      </w:r>
      <w:r>
        <w:rPr>
          <w:rFonts w:hint="eastAsia" w:ascii="宋体" w:hAnsi="宋体" w:eastAsia="宋体" w:cs="宋体"/>
          <w:b/>
          <w:bCs/>
          <w:color w:val="000000"/>
          <w:spacing w:val="2"/>
          <w:kern w:val="0"/>
          <w:sz w:val="30"/>
          <w:szCs w:val="30"/>
          <w:lang w:val="en-US" w:eastAsia="zh-CN"/>
        </w:rPr>
        <w:t>拥有有效专利本月止累计数及</w:t>
      </w:r>
      <w:r>
        <w:rPr>
          <w:rStyle w:val="10"/>
          <w:rFonts w:hint="eastAsia" w:ascii="宋体" w:hAnsi="宋体" w:eastAsia="宋体" w:cs="宋体"/>
          <w:b/>
          <w:bCs/>
          <w:i w:val="0"/>
          <w:caps w:val="0"/>
          <w:color w:val="000000"/>
          <w:spacing w:val="2"/>
          <w:kern w:val="0"/>
          <w:sz w:val="30"/>
          <w:szCs w:val="30"/>
        </w:rPr>
        <w:t>去年同月止累计</w:t>
      </w:r>
      <w:r>
        <w:rPr>
          <w:rStyle w:val="10"/>
          <w:rFonts w:hint="eastAsia" w:ascii="宋体" w:hAnsi="宋体" w:eastAsia="宋体" w:cs="宋体"/>
          <w:b/>
          <w:bCs/>
          <w:i w:val="0"/>
          <w:caps w:val="0"/>
          <w:color w:val="000000"/>
          <w:spacing w:val="2"/>
          <w:kern w:val="0"/>
          <w:sz w:val="30"/>
          <w:szCs w:val="30"/>
          <w:lang w:eastAsia="zh-CN"/>
        </w:rPr>
        <w:t>数</w:t>
      </w:r>
      <w:r>
        <w:rPr>
          <w:rFonts w:hint="eastAsia" w:ascii="宋体" w:hAnsi="宋体" w:eastAsia="宋体" w:cs="宋体"/>
          <w:b/>
          <w:bCs/>
          <w:color w:val="000000"/>
          <w:spacing w:val="2"/>
          <w:kern w:val="0"/>
          <w:sz w:val="30"/>
          <w:szCs w:val="30"/>
          <w:lang w:val="en-US" w:eastAsia="zh-CN"/>
        </w:rPr>
        <w:t>、拥有软件著作权本月止累计数及</w:t>
      </w:r>
      <w:r>
        <w:rPr>
          <w:rStyle w:val="10"/>
          <w:rFonts w:hint="eastAsia" w:ascii="宋体" w:hAnsi="宋体" w:eastAsia="宋体" w:cs="宋体"/>
          <w:b/>
          <w:bCs/>
          <w:i w:val="0"/>
          <w:caps w:val="0"/>
          <w:color w:val="000000"/>
          <w:spacing w:val="2"/>
          <w:kern w:val="0"/>
          <w:sz w:val="30"/>
          <w:szCs w:val="30"/>
        </w:rPr>
        <w:t>去年同月止累计</w:t>
      </w:r>
      <w:r>
        <w:rPr>
          <w:rStyle w:val="10"/>
          <w:rFonts w:hint="eastAsia" w:ascii="宋体" w:hAnsi="宋体" w:eastAsia="宋体" w:cs="宋体"/>
          <w:b/>
          <w:bCs/>
          <w:i w:val="0"/>
          <w:caps w:val="0"/>
          <w:color w:val="000000"/>
          <w:spacing w:val="2"/>
          <w:kern w:val="0"/>
          <w:sz w:val="30"/>
          <w:szCs w:val="30"/>
          <w:lang w:eastAsia="zh-CN"/>
        </w:rPr>
        <w:t>数</w:t>
      </w:r>
      <w:r>
        <w:rPr>
          <w:rFonts w:hint="eastAsia" w:ascii="宋体" w:hAnsi="宋体" w:eastAsia="宋体" w:cs="宋体"/>
          <w:b/>
          <w:bCs/>
          <w:color w:val="000000"/>
          <w:spacing w:val="2"/>
          <w:kern w:val="0"/>
          <w:sz w:val="30"/>
          <w:szCs w:val="30"/>
          <w:lang w:val="en-US" w:eastAsia="zh-CN"/>
        </w:rPr>
        <w:t>为企业成立以来至报告期内拥有的仍在有效期内的专利及软件著作权</w:t>
      </w:r>
      <w:r>
        <w:rPr>
          <w:rFonts w:hint="eastAsia" w:ascii="宋体" w:hAnsi="宋体" w:eastAsia="宋体" w:cs="宋体"/>
          <w:b w:val="0"/>
          <w:bCs w:val="0"/>
          <w:color w:val="000000"/>
          <w:spacing w:val="2"/>
          <w:kern w:val="0"/>
          <w:sz w:val="30"/>
          <w:szCs w:val="30"/>
          <w:lang w:val="en-US" w:eastAsia="zh-CN"/>
        </w:rPr>
        <w:t>。</w:t>
      </w:r>
    </w:p>
    <w:p>
      <w:pPr>
        <w:pStyle w:val="2"/>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七、咨询电话</w:t>
      </w:r>
    </w:p>
    <w:p>
      <w:pPr>
        <w:pStyle w:val="2"/>
        <w:ind w:firstLine="608" w:firstLineChars="200"/>
        <w:rPr>
          <w:rFonts w:hint="eastAsia" w:ascii="宋体" w:hAnsi="宋体" w:eastAsia="宋体" w:cs="宋体"/>
          <w:b w:val="0"/>
          <w:bCs w:val="0"/>
          <w:color w:val="000000"/>
          <w:spacing w:val="2"/>
          <w:kern w:val="0"/>
          <w:sz w:val="30"/>
          <w:szCs w:val="30"/>
          <w:lang w:val="en-US" w:eastAsia="zh-CN" w:bidi="ar-SA"/>
        </w:rPr>
      </w:pPr>
      <w:r>
        <w:rPr>
          <w:rFonts w:hint="eastAsia" w:ascii="宋体" w:hAnsi="宋体" w:eastAsia="宋体" w:cs="宋体"/>
          <w:b w:val="0"/>
          <w:bCs w:val="0"/>
          <w:color w:val="000000"/>
          <w:spacing w:val="2"/>
          <w:kern w:val="0"/>
          <w:sz w:val="30"/>
          <w:szCs w:val="30"/>
          <w:lang w:val="en-US" w:eastAsia="zh-CN" w:bidi="ar-SA"/>
        </w:rPr>
        <w:t>2108271、2053981、2025955。</w:t>
      </w:r>
    </w:p>
    <w:p>
      <w:pPr>
        <w:pStyle w:val="2"/>
        <w:rPr>
          <w:rFonts w:hint="eastAsia" w:ascii="宋体" w:hAnsi="宋体" w:eastAsia="宋体" w:cs="宋体"/>
          <w:b w:val="0"/>
          <w:bCs w:val="0"/>
          <w:color w:val="000000"/>
          <w:spacing w:val="2"/>
          <w:kern w:val="0"/>
          <w:sz w:val="30"/>
          <w:szCs w:val="30"/>
          <w:lang w:val="en-US" w:eastAsia="zh-CN"/>
        </w:rPr>
      </w:pPr>
    </w:p>
    <w:p>
      <w:pPr>
        <w:pStyle w:val="2"/>
        <w:rPr>
          <w:rFonts w:hint="eastAsia" w:ascii="宋体" w:hAnsi="宋体" w:eastAsia="宋体" w:cs="宋体"/>
          <w:b w:val="0"/>
          <w:bCs w:val="0"/>
          <w:color w:val="000000"/>
          <w:spacing w:val="2"/>
          <w:kern w:val="0"/>
          <w:sz w:val="30"/>
          <w:szCs w:val="30"/>
          <w:lang w:val="en-US" w:eastAsia="zh-CN"/>
        </w:rPr>
        <w:sectPr>
          <w:pgSz w:w="11906" w:h="16838"/>
          <w:pgMar w:top="1213" w:right="1800" w:bottom="1213"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958"/>
        <w:jc w:val="left"/>
        <w:textAlignment w:val="auto"/>
        <w:rPr>
          <w:rFonts w:hint="eastAsia" w:ascii="宋体" w:hAnsi="宋体" w:eastAsia="宋体" w:cs="宋体"/>
          <w:lang w:val="en-US"/>
        </w:rPr>
      </w:pPr>
      <w:bookmarkStart w:id="0" w:name="_Toc17037"/>
      <w:bookmarkStart w:id="1" w:name="_Toc26727"/>
      <w:bookmarkStart w:id="2" w:name="_Toc25908"/>
      <w:bookmarkStart w:id="3" w:name="_Toc28744"/>
      <w:bookmarkStart w:id="4" w:name="_Toc18950"/>
      <w:bookmarkStart w:id="5" w:name="_Toc10894"/>
      <w:r>
        <w:rPr>
          <w:rFonts w:hint="eastAsia" w:ascii="宋体" w:hAnsi="宋体" w:eastAsia="宋体" w:cs="宋体"/>
          <w:b w:val="0"/>
          <w:bCs w:val="0"/>
          <w:sz w:val="36"/>
          <w:szCs w:val="36"/>
          <w:lang w:val="en-US" w:eastAsia="zh-CN"/>
        </w:rPr>
        <w:t>附件2</w:t>
      </w:r>
    </w:p>
    <w:p>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国家高新区企业及区外高企统计年报表</w:t>
      </w:r>
    </w:p>
    <w:p>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宋体" w:hAnsi="宋体" w:eastAsia="宋体" w:cs="宋体"/>
        </w:rPr>
      </w:pPr>
      <w:r>
        <w:rPr>
          <w:rFonts w:hint="eastAsia" w:ascii="宋体" w:hAnsi="宋体" w:eastAsia="宋体" w:cs="宋体"/>
          <w:b/>
          <w:bCs/>
          <w:sz w:val="36"/>
          <w:szCs w:val="36"/>
          <w:lang w:val="en-US" w:eastAsia="zh-CN"/>
        </w:rPr>
        <w:t>系统操作指南及注意事项</w:t>
      </w:r>
      <w:bookmarkEnd w:id="0"/>
      <w:bookmarkEnd w:id="1"/>
      <w:bookmarkEnd w:id="2"/>
      <w:bookmarkEnd w:id="3"/>
      <w:bookmarkEnd w:id="4"/>
      <w:bookmarkEnd w:id="5"/>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操作指南</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608" w:firstLineChars="200"/>
        <w:textAlignment w:val="auto"/>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登录方式：工业和信息化部火炬中心（http://www.chinatorch.gov.cn），点击“在线服务—火炬统计调查—我要办理”进入</w:t>
      </w:r>
      <w:r>
        <w:rPr>
          <w:rFonts w:hint="eastAsia" w:ascii="宋体" w:hAnsi="宋体" w:eastAsia="宋体" w:cs="宋体"/>
          <w:b/>
          <w:bCs/>
          <w:color w:val="000000"/>
          <w:spacing w:val="2"/>
          <w:kern w:val="0"/>
          <w:sz w:val="30"/>
          <w:szCs w:val="30"/>
          <w:lang w:val="en-US" w:eastAsia="zh-CN"/>
        </w:rPr>
        <w:t>统一身份认证与单点登录平台</w:t>
      </w:r>
      <w:r>
        <w:rPr>
          <w:rFonts w:hint="eastAsia" w:ascii="宋体" w:hAnsi="宋体" w:eastAsia="宋体" w:cs="宋体"/>
          <w:color w:val="000000"/>
          <w:spacing w:val="2"/>
          <w:kern w:val="0"/>
          <w:sz w:val="30"/>
          <w:szCs w:val="30"/>
          <w:lang w:val="en-US" w:eastAsia="zh-CN"/>
        </w:rPr>
        <w:t>（网址：https://hjrz.chinatorch.org.cn/login）进行登录填报。</w:t>
      </w:r>
    </w:p>
    <w:p>
      <w:pPr>
        <w:pStyle w:val="2"/>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drawing>
          <wp:inline distT="0" distB="0" distL="114300" distR="114300">
            <wp:extent cx="5266690" cy="2600325"/>
            <wp:effectExtent l="0" t="0" r="10160" b="9525"/>
            <wp:docPr id="35" name="图片 35" descr="22315e377bfffc9af12e46a72796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315e377bfffc9af12e46a727961ac"/>
                    <pic:cNvPicPr>
                      <a:picLocks noChangeAspect="1"/>
                    </pic:cNvPicPr>
                  </pic:nvPicPr>
                  <pic:blipFill>
                    <a:blip r:embed="rId19"/>
                    <a:stretch>
                      <a:fillRect/>
                    </a:stretch>
                  </pic:blipFill>
                  <pic:spPr>
                    <a:xfrm>
                      <a:off x="0" y="0"/>
                      <a:ext cx="5266690" cy="2600325"/>
                    </a:xfrm>
                    <a:prstGeom prst="rect">
                      <a:avLst/>
                    </a:prstGeom>
                  </pic:spPr>
                </pic:pic>
              </a:graphicData>
            </a:graphic>
          </wp:inline>
        </w:drawing>
      </w:r>
    </w:p>
    <w:p>
      <w:pPr>
        <w:ind w:firstLine="608" w:firstLineChars="200"/>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2、账号和密码：企业可以通过企业账号或个人账号登录。</w:t>
      </w:r>
      <w:r>
        <w:rPr>
          <w:rFonts w:hint="eastAsia" w:ascii="宋体" w:hAnsi="宋体" w:eastAsia="宋体" w:cs="宋体"/>
          <w:b/>
          <w:bCs/>
          <w:color w:val="000000"/>
          <w:spacing w:val="2"/>
          <w:kern w:val="0"/>
          <w:sz w:val="30"/>
          <w:szCs w:val="30"/>
          <w:lang w:val="en-US" w:eastAsia="zh-CN"/>
        </w:rPr>
        <w:t>企业账号登录名为18位统一社会信用代码，</w:t>
      </w:r>
      <w:r>
        <w:rPr>
          <w:rFonts w:hint="eastAsia" w:ascii="宋体" w:hAnsi="宋体" w:eastAsia="宋体" w:cs="宋体"/>
          <w:b w:val="0"/>
          <w:bCs w:val="0"/>
          <w:color w:val="000000"/>
          <w:spacing w:val="2"/>
          <w:kern w:val="0"/>
          <w:sz w:val="30"/>
          <w:szCs w:val="30"/>
          <w:lang w:val="en-US" w:eastAsia="zh-CN"/>
        </w:rPr>
        <w:t>注册登录后可以进入工业和信息化部火炬统计调查、高新技术企业认定等相</w:t>
      </w:r>
      <w:r>
        <w:rPr>
          <w:rFonts w:hint="eastAsia" w:ascii="宋体" w:hAnsi="宋体" w:eastAsia="宋体" w:cs="宋体"/>
          <w:color w:val="000000"/>
          <w:spacing w:val="2"/>
          <w:kern w:val="0"/>
          <w:sz w:val="30"/>
          <w:szCs w:val="30"/>
          <w:lang w:val="en-US" w:eastAsia="zh-CN"/>
        </w:rPr>
        <w:t>关业务系统。如有账号注册及密码找回的操作问题，可点击“</w:t>
      </w:r>
      <w:r>
        <w:rPr>
          <w:rFonts w:hint="eastAsia" w:ascii="宋体" w:hAnsi="宋体" w:eastAsia="宋体" w:cs="宋体"/>
          <w:b/>
          <w:bCs/>
          <w:color w:val="000000"/>
          <w:spacing w:val="2"/>
          <w:kern w:val="0"/>
          <w:sz w:val="30"/>
          <w:szCs w:val="30"/>
          <w:u w:val="single"/>
          <w:lang w:val="en-US" w:eastAsia="zh-CN"/>
        </w:rPr>
        <w:t>下载操作手册</w:t>
      </w:r>
      <w:r>
        <w:rPr>
          <w:rFonts w:hint="eastAsia" w:ascii="宋体" w:hAnsi="宋体" w:eastAsia="宋体" w:cs="宋体"/>
          <w:color w:val="000000"/>
          <w:spacing w:val="2"/>
          <w:kern w:val="0"/>
          <w:sz w:val="30"/>
          <w:szCs w:val="30"/>
          <w:lang w:val="en-US" w:eastAsia="zh-CN"/>
        </w:rPr>
        <w:t>”查看功能介绍。密码错误的可以通过</w:t>
      </w:r>
      <w:r>
        <w:rPr>
          <w:rFonts w:hint="eastAsia" w:ascii="宋体" w:hAnsi="宋体" w:eastAsia="宋体" w:cs="宋体"/>
          <w:b/>
          <w:bCs/>
          <w:color w:val="000000"/>
          <w:spacing w:val="2"/>
          <w:kern w:val="0"/>
          <w:sz w:val="30"/>
          <w:szCs w:val="30"/>
          <w:u w:val="single"/>
          <w:lang w:val="en-US" w:eastAsia="zh-CN"/>
        </w:rPr>
        <w:t>忘记密码</w:t>
      </w:r>
      <w:r>
        <w:rPr>
          <w:rFonts w:hint="eastAsia" w:ascii="宋体" w:hAnsi="宋体" w:eastAsia="宋体" w:cs="宋体"/>
          <w:color w:val="000000"/>
          <w:spacing w:val="2"/>
          <w:kern w:val="0"/>
          <w:sz w:val="30"/>
          <w:szCs w:val="30"/>
          <w:lang w:val="en-US" w:eastAsia="zh-CN"/>
        </w:rPr>
        <w:t>找回，无法联系预留手机号时，可进行申诉找回。若使用个人账号登录，须由法人管理员授权后才能进入填报</w:t>
      </w:r>
      <w:r>
        <w:rPr>
          <w:rFonts w:hint="eastAsia" w:ascii="宋体" w:hAnsi="宋体" w:eastAsia="宋体" w:cs="宋体"/>
          <w:b w:val="0"/>
          <w:bCs w:val="0"/>
          <w:color w:val="000000"/>
          <w:spacing w:val="2"/>
          <w:kern w:val="0"/>
          <w:sz w:val="30"/>
          <w:szCs w:val="30"/>
          <w:lang w:val="en-US" w:eastAsia="zh-CN"/>
        </w:rPr>
        <w:t>工业和信息化部</w:t>
      </w:r>
      <w:r>
        <w:rPr>
          <w:rFonts w:hint="eastAsia" w:ascii="宋体" w:hAnsi="宋体" w:eastAsia="宋体" w:cs="宋体"/>
          <w:color w:val="000000"/>
          <w:spacing w:val="2"/>
          <w:kern w:val="0"/>
          <w:sz w:val="30"/>
          <w:szCs w:val="30"/>
          <w:lang w:val="en-US" w:eastAsia="zh-CN"/>
        </w:rPr>
        <w:t>火炬统计调查。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8" w:firstLineChars="200"/>
        <w:jc w:val="both"/>
        <w:textAlignment w:val="auto"/>
        <w:rPr>
          <w:rFonts w:hint="eastAsia" w:ascii="宋体" w:hAnsi="宋体" w:eastAsia="宋体" w:cs="宋体"/>
          <w:color w:val="000000"/>
          <w:spacing w:val="2"/>
          <w:kern w:val="0"/>
          <w:sz w:val="30"/>
          <w:szCs w:val="30"/>
        </w:rPr>
      </w:pPr>
      <w:r>
        <w:rPr>
          <w:rFonts w:hint="eastAsia" w:ascii="宋体" w:hAnsi="宋体" w:eastAsia="宋体" w:cs="宋体"/>
          <w:color w:val="000000"/>
          <w:spacing w:val="2"/>
          <w:kern w:val="0"/>
          <w:sz w:val="30"/>
          <w:szCs w:val="30"/>
          <w:lang w:val="en-US" w:eastAsia="zh-CN"/>
        </w:rPr>
        <w:drawing>
          <wp:anchor distT="0" distB="0" distL="114300" distR="114300" simplePos="0" relativeHeight="251687936" behindDoc="1" locked="0" layoutInCell="1" allowOverlap="1">
            <wp:simplePos x="0" y="0"/>
            <wp:positionH relativeFrom="column">
              <wp:posOffset>-67945</wp:posOffset>
            </wp:positionH>
            <wp:positionV relativeFrom="paragraph">
              <wp:posOffset>3747135</wp:posOffset>
            </wp:positionV>
            <wp:extent cx="5271770" cy="2529205"/>
            <wp:effectExtent l="0" t="0" r="5080" b="0"/>
            <wp:wrapThrough wrapText="bothSides">
              <wp:wrapPolygon>
                <wp:start x="0" y="0"/>
                <wp:lineTo x="0" y="21475"/>
                <wp:lineTo x="21543" y="21475"/>
                <wp:lineTo x="21543" y="0"/>
                <wp:lineTo x="0" y="0"/>
              </wp:wrapPolygon>
            </wp:wrapThrough>
            <wp:docPr id="33" name="图片 33" descr="14ef305151673cbdb7e609e3e678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ef305151673cbdb7e609e3e678e4f"/>
                    <pic:cNvPicPr>
                      <a:picLocks noChangeAspect="1"/>
                    </pic:cNvPicPr>
                  </pic:nvPicPr>
                  <pic:blipFill>
                    <a:blip r:embed="rId20"/>
                    <a:stretch>
                      <a:fillRect/>
                    </a:stretch>
                  </pic:blipFill>
                  <pic:spPr>
                    <a:xfrm>
                      <a:off x="0" y="0"/>
                      <a:ext cx="5271770" cy="2529205"/>
                    </a:xfrm>
                    <a:prstGeom prst="rect">
                      <a:avLst/>
                    </a:prstGeom>
                  </pic:spPr>
                </pic:pic>
              </a:graphicData>
            </a:graphic>
          </wp:anchor>
        </w:drawing>
      </w:r>
      <w:r>
        <w:rPr>
          <w:rFonts w:hint="eastAsia" w:ascii="宋体" w:hAnsi="宋体" w:eastAsia="宋体" w:cs="宋体"/>
        </w:rPr>
        <w:drawing>
          <wp:anchor distT="0" distB="0" distL="114300" distR="114300" simplePos="0" relativeHeight="251685888" behindDoc="1" locked="0" layoutInCell="1" allowOverlap="1">
            <wp:simplePos x="0" y="0"/>
            <wp:positionH relativeFrom="column">
              <wp:posOffset>-19685</wp:posOffset>
            </wp:positionH>
            <wp:positionV relativeFrom="paragraph">
              <wp:posOffset>122555</wp:posOffset>
            </wp:positionV>
            <wp:extent cx="5180965" cy="3402965"/>
            <wp:effectExtent l="0" t="0" r="635" b="0"/>
            <wp:wrapThrough wrapText="bothSides">
              <wp:wrapPolygon>
                <wp:start x="0" y="0"/>
                <wp:lineTo x="0" y="21523"/>
                <wp:lineTo x="21523" y="21523"/>
                <wp:lineTo x="21523" y="0"/>
                <wp:lineTo x="0" y="0"/>
              </wp:wrapPolygon>
            </wp:wrapThrough>
            <wp:docPr id="36" name="图片 12" descr="C:\Users\马克图布\Desktop\e53ac6c66041c7f6802ad0258c6d9b2.pnge53ac6c66041c7f6802ad0258c6d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C:\Users\马克图布\Desktop\e53ac6c66041c7f6802ad0258c6d9b2.pnge53ac6c66041c7f6802ad0258c6d9b2"/>
                    <pic:cNvPicPr>
                      <a:picLocks noChangeAspect="1"/>
                    </pic:cNvPicPr>
                  </pic:nvPicPr>
                  <pic:blipFill>
                    <a:blip r:embed="rId21"/>
                    <a:srcRect/>
                    <a:stretch>
                      <a:fillRect/>
                    </a:stretch>
                  </pic:blipFill>
                  <pic:spPr>
                    <a:xfrm>
                      <a:off x="0" y="0"/>
                      <a:ext cx="5180965" cy="3402965"/>
                    </a:xfrm>
                    <a:prstGeom prst="rect">
                      <a:avLst/>
                    </a:prstGeom>
                    <a:noFill/>
                    <a:ln>
                      <a:noFill/>
                    </a:ln>
                  </pic:spPr>
                </pic:pic>
              </a:graphicData>
            </a:graphic>
          </wp:anchor>
        </w:drawing>
      </w:r>
      <w:r>
        <w:rPr>
          <w:rFonts w:hint="eastAsia" w:ascii="宋体" w:hAnsi="宋体" w:eastAsia="宋体" w:cs="宋体"/>
          <w:color w:val="000000"/>
          <w:spacing w:val="2"/>
          <w:kern w:val="0"/>
          <w:sz w:val="30"/>
          <w:szCs w:val="30"/>
          <w:lang w:val="en-US" w:eastAsia="zh-CN"/>
        </w:rPr>
        <w:t>3、</w:t>
      </w:r>
      <w:r>
        <w:rPr>
          <w:rFonts w:hint="eastAsia" w:ascii="宋体" w:hAnsi="宋体" w:eastAsia="宋体" w:cs="宋体"/>
          <w:b w:val="0"/>
          <w:bCs w:val="0"/>
          <w:color w:val="000000"/>
          <w:spacing w:val="2"/>
          <w:kern w:val="0"/>
          <w:sz w:val="30"/>
          <w:szCs w:val="30"/>
          <w:lang w:val="en-US" w:eastAsia="zh-CN"/>
        </w:rPr>
        <w:t>进入统一身份认证与单点登录平台填</w:t>
      </w:r>
      <w:r>
        <w:rPr>
          <w:rFonts w:hint="eastAsia" w:ascii="宋体" w:hAnsi="宋体" w:eastAsia="宋体" w:cs="宋体"/>
          <w:color w:val="000000"/>
          <w:spacing w:val="2"/>
          <w:kern w:val="0"/>
          <w:sz w:val="30"/>
          <w:szCs w:val="30"/>
          <w:lang w:val="en-US" w:eastAsia="zh-CN"/>
        </w:rPr>
        <w:t>报：登录后在首页企业服务中，选择“工业和信息化部火炬统计调查”→“我要办理”，进入工信部火炬统计信息调查系统；选择“</w:t>
      </w:r>
      <w:r>
        <w:rPr>
          <w:rFonts w:hint="eastAsia" w:ascii="宋体" w:hAnsi="宋体" w:eastAsia="宋体" w:cs="宋体"/>
          <w:b/>
          <w:bCs/>
          <w:color w:val="000000"/>
          <w:spacing w:val="2"/>
          <w:kern w:val="0"/>
          <w:sz w:val="30"/>
          <w:szCs w:val="30"/>
          <w:u w:val="single"/>
          <w:lang w:val="en-US" w:eastAsia="zh-CN"/>
        </w:rPr>
        <w:t>企业年报</w:t>
      </w:r>
      <w:r>
        <w:rPr>
          <w:rFonts w:hint="eastAsia" w:ascii="宋体" w:hAnsi="宋体" w:eastAsia="宋体" w:cs="宋体"/>
          <w:color w:val="000000"/>
          <w:spacing w:val="2"/>
          <w:kern w:val="0"/>
          <w:sz w:val="30"/>
          <w:szCs w:val="30"/>
          <w:lang w:val="en-US" w:eastAsia="zh-CN"/>
        </w:rPr>
        <w:t>”→“数据管理”→“填报”，</w:t>
      </w:r>
      <w:r>
        <w:rPr>
          <w:rFonts w:hint="eastAsia" w:ascii="宋体" w:hAnsi="宋体" w:eastAsia="宋体" w:cs="宋体"/>
          <w:color w:val="000000"/>
          <w:spacing w:val="2"/>
          <w:kern w:val="0"/>
          <w:sz w:val="30"/>
          <w:szCs w:val="30"/>
        </w:rPr>
        <w:t>按照系统提示分步进行填报，填写完毕</w:t>
      </w:r>
      <w:r>
        <w:rPr>
          <w:rFonts w:hint="eastAsia" w:ascii="宋体" w:hAnsi="宋体" w:eastAsia="宋体" w:cs="宋体"/>
          <w:color w:val="000000"/>
          <w:spacing w:val="2"/>
          <w:kern w:val="0"/>
          <w:sz w:val="30"/>
          <w:szCs w:val="30"/>
          <w:lang w:eastAsia="zh-CN"/>
        </w:rPr>
        <w:t>、</w:t>
      </w:r>
      <w:r>
        <w:rPr>
          <w:rFonts w:hint="eastAsia" w:ascii="宋体" w:hAnsi="宋体" w:eastAsia="宋体" w:cs="宋体"/>
          <w:color w:val="000000"/>
          <w:spacing w:val="2"/>
          <w:kern w:val="0"/>
          <w:sz w:val="30"/>
          <w:szCs w:val="30"/>
          <w:lang w:val="en-US" w:eastAsia="zh-CN"/>
        </w:rPr>
        <w:t>检查无“错误”提示后点击“</w:t>
      </w:r>
      <w:r>
        <w:rPr>
          <w:rFonts w:hint="eastAsia" w:ascii="宋体" w:hAnsi="宋体" w:eastAsia="宋体" w:cs="宋体"/>
          <w:b/>
          <w:bCs/>
          <w:color w:val="000000"/>
          <w:spacing w:val="2"/>
          <w:kern w:val="0"/>
          <w:sz w:val="30"/>
          <w:szCs w:val="30"/>
          <w:lang w:val="en-US" w:eastAsia="zh-CN"/>
        </w:rPr>
        <w:t>提交</w:t>
      </w:r>
      <w:r>
        <w:rPr>
          <w:rFonts w:hint="eastAsia" w:ascii="宋体" w:hAnsi="宋体" w:eastAsia="宋体" w:cs="宋体"/>
          <w:color w:val="000000"/>
          <w:spacing w:val="2"/>
          <w:kern w:val="0"/>
          <w:sz w:val="30"/>
          <w:szCs w:val="30"/>
          <w:lang w:val="en-US" w:eastAsia="zh-CN"/>
        </w:rPr>
        <w:t>”</w:t>
      </w:r>
      <w:r>
        <w:rPr>
          <w:rFonts w:hint="eastAsia" w:ascii="宋体" w:hAnsi="宋体" w:eastAsia="宋体" w:cs="宋体"/>
          <w:color w:val="000000"/>
          <w:spacing w:val="2"/>
          <w:kern w:val="0"/>
          <w:sz w:val="30"/>
          <w:szCs w:val="30"/>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drawing>
          <wp:inline distT="0" distB="0" distL="114300" distR="114300">
            <wp:extent cx="5377180" cy="2136775"/>
            <wp:effectExtent l="0" t="0" r="13970" b="15875"/>
            <wp:docPr id="38" name="图片 38" descr="37d5f1db58cdc8a0ac3a03c834d1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7d5f1db58cdc8a0ac3a03c834d19cf"/>
                    <pic:cNvPicPr>
                      <a:picLocks noChangeAspect="1"/>
                    </pic:cNvPicPr>
                  </pic:nvPicPr>
                  <pic:blipFill>
                    <a:blip r:embed="rId22"/>
                    <a:stretch>
                      <a:fillRect/>
                    </a:stretch>
                  </pic:blipFill>
                  <pic:spPr>
                    <a:xfrm>
                      <a:off x="0" y="0"/>
                      <a:ext cx="5377180" cy="2136775"/>
                    </a:xfrm>
                    <a:prstGeom prst="rect">
                      <a:avLst/>
                    </a:prstGeom>
                  </pic:spPr>
                </pic:pic>
              </a:graphicData>
            </a:graphic>
          </wp:inline>
        </w:drawing>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drawing>
          <wp:inline distT="0" distB="0" distL="114300" distR="114300">
            <wp:extent cx="5504815" cy="1490980"/>
            <wp:effectExtent l="0" t="0" r="635" b="13970"/>
            <wp:docPr id="37" name="图片 37" descr="cfb54ce83705f66db3c4cd1754b7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fb54ce83705f66db3c4cd1754b719a"/>
                    <pic:cNvPicPr>
                      <a:picLocks noChangeAspect="1"/>
                    </pic:cNvPicPr>
                  </pic:nvPicPr>
                  <pic:blipFill>
                    <a:blip r:embed="rId23"/>
                    <a:stretch>
                      <a:fillRect/>
                    </a:stretch>
                  </pic:blipFill>
                  <pic:spPr>
                    <a:xfrm>
                      <a:off x="0" y="0"/>
                      <a:ext cx="5504815" cy="14909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8" w:firstLineChars="200"/>
        <w:jc w:val="both"/>
        <w:textAlignment w:val="auto"/>
        <w:rPr>
          <w:rFonts w:hint="eastAsia" w:ascii="宋体" w:hAnsi="宋体" w:eastAsia="宋体" w:cs="宋体"/>
          <w:color w:val="000000"/>
          <w:spacing w:val="2"/>
          <w:kern w:val="0"/>
          <w:sz w:val="30"/>
          <w:szCs w:val="30"/>
        </w:rPr>
      </w:pPr>
      <w:r>
        <w:rPr>
          <w:rFonts w:hint="eastAsia" w:ascii="宋体" w:hAnsi="宋体" w:eastAsia="宋体" w:cs="宋体"/>
          <w:color w:val="000000"/>
          <w:spacing w:val="2"/>
          <w:kern w:val="0"/>
          <w:sz w:val="30"/>
          <w:szCs w:val="30"/>
          <w:lang w:val="en-US" w:eastAsia="zh-CN"/>
        </w:rPr>
        <w:t>4</w:t>
      </w:r>
      <w:r>
        <w:rPr>
          <w:rFonts w:hint="eastAsia" w:ascii="宋体" w:hAnsi="宋体" w:eastAsia="宋体" w:cs="宋体"/>
          <w:color w:val="000000"/>
          <w:spacing w:val="2"/>
          <w:kern w:val="0"/>
          <w:sz w:val="30"/>
          <w:szCs w:val="30"/>
        </w:rPr>
        <w:t>、审核</w:t>
      </w:r>
      <w:r>
        <w:rPr>
          <w:rFonts w:hint="eastAsia" w:ascii="宋体" w:hAnsi="宋体" w:eastAsia="宋体" w:cs="宋体"/>
          <w:color w:val="000000"/>
          <w:spacing w:val="2"/>
          <w:kern w:val="0"/>
          <w:sz w:val="30"/>
          <w:szCs w:val="30"/>
          <w:lang w:eastAsia="zh-CN"/>
        </w:rPr>
        <w:t>：</w:t>
      </w:r>
      <w:r>
        <w:rPr>
          <w:rFonts w:hint="eastAsia" w:ascii="宋体" w:hAnsi="宋体" w:eastAsia="宋体" w:cs="宋体"/>
          <w:color w:val="000000"/>
          <w:spacing w:val="2"/>
          <w:kern w:val="0"/>
          <w:sz w:val="30"/>
          <w:szCs w:val="30"/>
          <w:lang w:val="en-US" w:eastAsia="zh-CN"/>
        </w:rPr>
        <w:t>提交完成后，</w:t>
      </w:r>
      <w:r>
        <w:rPr>
          <w:rFonts w:hint="eastAsia" w:ascii="宋体" w:hAnsi="宋体" w:eastAsia="宋体" w:cs="宋体"/>
          <w:color w:val="000000"/>
          <w:spacing w:val="2"/>
          <w:kern w:val="0"/>
          <w:sz w:val="30"/>
          <w:szCs w:val="30"/>
        </w:rPr>
        <w:t>需等待管理员审核，审核时间3-5个工作日。</w:t>
      </w:r>
    </w:p>
    <w:p>
      <w:pPr>
        <w:keepNext w:val="0"/>
        <w:keepLines w:val="0"/>
        <w:pageBreakBefore w:val="0"/>
        <w:widowControl w:val="0"/>
        <w:kinsoku/>
        <w:wordWrap/>
        <w:overflowPunct/>
        <w:topLinePunct w:val="0"/>
        <w:autoSpaceDE/>
        <w:autoSpaceDN/>
        <w:bidi w:val="0"/>
        <w:adjustRightInd w:val="0"/>
        <w:snapToGrid w:val="0"/>
        <w:spacing w:line="360" w:lineRule="auto"/>
        <w:ind w:firstLine="608" w:firstLineChars="200"/>
        <w:textAlignment w:val="auto"/>
        <w:rPr>
          <w:rFonts w:hint="eastAsia" w:ascii="宋体" w:hAnsi="宋体" w:eastAsia="宋体" w:cs="宋体"/>
          <w:color w:val="auto"/>
          <w:spacing w:val="2"/>
          <w:kern w:val="0"/>
          <w:sz w:val="30"/>
          <w:szCs w:val="30"/>
          <w:highlight w:val="none"/>
          <w:lang w:val="en-US" w:eastAsia="zh-CN"/>
        </w:rPr>
      </w:pPr>
      <w:r>
        <w:rPr>
          <w:rFonts w:hint="eastAsia" w:ascii="宋体" w:hAnsi="宋体" w:eastAsia="宋体" w:cs="宋体"/>
          <w:color w:val="000000"/>
          <w:spacing w:val="2"/>
          <w:kern w:val="0"/>
          <w:sz w:val="30"/>
          <w:szCs w:val="30"/>
          <w:highlight w:val="none"/>
          <w:lang w:val="en-US" w:eastAsia="zh-CN"/>
        </w:rPr>
        <w:t>5</w:t>
      </w:r>
      <w:r>
        <w:rPr>
          <w:rFonts w:hint="eastAsia" w:ascii="宋体" w:hAnsi="宋体" w:eastAsia="宋体" w:cs="宋体"/>
          <w:color w:val="000000"/>
          <w:spacing w:val="2"/>
          <w:kern w:val="0"/>
          <w:sz w:val="30"/>
          <w:szCs w:val="30"/>
          <w:highlight w:val="none"/>
        </w:rPr>
        <w:t>、打印</w:t>
      </w:r>
      <w:r>
        <w:rPr>
          <w:rFonts w:hint="eastAsia" w:ascii="宋体" w:hAnsi="宋体" w:eastAsia="宋体" w:cs="宋体"/>
          <w:color w:val="000000"/>
          <w:spacing w:val="2"/>
          <w:kern w:val="0"/>
          <w:sz w:val="30"/>
          <w:szCs w:val="30"/>
          <w:highlight w:val="none"/>
          <w:lang w:eastAsia="zh-CN"/>
        </w:rPr>
        <w:t>、</w:t>
      </w:r>
      <w:r>
        <w:rPr>
          <w:rFonts w:hint="eastAsia" w:ascii="宋体" w:hAnsi="宋体" w:eastAsia="宋体" w:cs="宋体"/>
          <w:color w:val="auto"/>
          <w:spacing w:val="2"/>
          <w:kern w:val="0"/>
          <w:sz w:val="30"/>
          <w:szCs w:val="30"/>
          <w:highlight w:val="none"/>
        </w:rPr>
        <w:t>寄送材料</w:t>
      </w:r>
      <w:r>
        <w:rPr>
          <w:rFonts w:hint="eastAsia" w:ascii="宋体" w:hAnsi="宋体" w:eastAsia="宋体" w:cs="宋体"/>
          <w:color w:val="auto"/>
          <w:spacing w:val="2"/>
          <w:kern w:val="0"/>
          <w:sz w:val="30"/>
          <w:szCs w:val="30"/>
          <w:highlight w:val="none"/>
          <w:lang w:eastAsia="zh-CN"/>
        </w:rPr>
        <w:t>：</w:t>
      </w:r>
      <w:r>
        <w:rPr>
          <w:rFonts w:hint="eastAsia" w:ascii="宋体" w:hAnsi="宋体" w:eastAsia="宋体" w:cs="宋体"/>
          <w:b/>
          <w:bCs/>
          <w:color w:val="auto"/>
          <w:spacing w:val="2"/>
          <w:kern w:val="0"/>
          <w:sz w:val="30"/>
          <w:szCs w:val="30"/>
          <w:highlight w:val="none"/>
          <w:lang w:val="en-US" w:eastAsia="zh-CN"/>
        </w:rPr>
        <w:t>营业收入在2亿元以上（含2亿元）的</w:t>
      </w:r>
      <w:r>
        <w:rPr>
          <w:rFonts w:hint="eastAsia" w:ascii="宋体" w:hAnsi="宋体" w:eastAsia="宋体" w:cs="宋体"/>
          <w:b/>
          <w:bCs/>
          <w:color w:val="auto"/>
          <w:spacing w:val="2"/>
          <w:kern w:val="0"/>
          <w:sz w:val="30"/>
          <w:szCs w:val="30"/>
          <w:highlight w:val="none"/>
        </w:rPr>
        <w:t>企业</w:t>
      </w:r>
      <w:r>
        <w:rPr>
          <w:rFonts w:hint="eastAsia" w:ascii="宋体" w:hAnsi="宋体" w:eastAsia="宋体" w:cs="宋体"/>
          <w:color w:val="auto"/>
          <w:spacing w:val="2"/>
          <w:kern w:val="0"/>
          <w:sz w:val="30"/>
          <w:szCs w:val="30"/>
          <w:highlight w:val="none"/>
          <w:lang w:eastAsia="zh-CN"/>
        </w:rPr>
        <w:t>，</w:t>
      </w:r>
      <w:r>
        <w:rPr>
          <w:rFonts w:hint="eastAsia" w:ascii="宋体" w:hAnsi="宋体" w:eastAsia="宋体" w:cs="宋体"/>
          <w:color w:val="auto"/>
          <w:spacing w:val="2"/>
          <w:kern w:val="0"/>
          <w:sz w:val="30"/>
          <w:szCs w:val="30"/>
          <w:highlight w:val="none"/>
        </w:rPr>
        <w:t>上网查验已审核后，</w:t>
      </w:r>
      <w:r>
        <w:rPr>
          <w:rFonts w:hint="eastAsia" w:ascii="宋体" w:hAnsi="宋体" w:eastAsia="宋体" w:cs="宋体"/>
          <w:color w:val="auto"/>
          <w:spacing w:val="2"/>
          <w:kern w:val="0"/>
          <w:sz w:val="30"/>
          <w:szCs w:val="30"/>
          <w:highlight w:val="none"/>
          <w:lang w:val="en-US" w:eastAsia="zh-CN"/>
        </w:rPr>
        <w:t>将报表及系统中提示的错警因说明分别</w:t>
      </w:r>
      <w:r>
        <w:rPr>
          <w:rFonts w:hint="eastAsia" w:ascii="宋体" w:hAnsi="宋体" w:eastAsia="宋体" w:cs="宋体"/>
          <w:color w:val="auto"/>
          <w:spacing w:val="2"/>
          <w:kern w:val="0"/>
          <w:sz w:val="30"/>
          <w:szCs w:val="30"/>
          <w:highlight w:val="none"/>
        </w:rPr>
        <w:t>进行打印</w:t>
      </w:r>
      <w:r>
        <w:rPr>
          <w:rFonts w:hint="eastAsia" w:ascii="宋体" w:hAnsi="宋体" w:eastAsia="宋体" w:cs="宋体"/>
          <w:color w:val="auto"/>
          <w:spacing w:val="2"/>
          <w:kern w:val="0"/>
          <w:sz w:val="30"/>
          <w:szCs w:val="30"/>
          <w:highlight w:val="none"/>
          <w:lang w:eastAsia="zh-CN"/>
        </w:rPr>
        <w:t>，</w:t>
      </w:r>
      <w:r>
        <w:rPr>
          <w:rFonts w:hint="eastAsia" w:ascii="宋体" w:hAnsi="宋体" w:eastAsia="宋体" w:cs="宋体"/>
          <w:color w:val="auto"/>
          <w:spacing w:val="2"/>
          <w:kern w:val="0"/>
          <w:sz w:val="30"/>
          <w:szCs w:val="30"/>
          <w:highlight w:val="none"/>
          <w:lang w:val="en-US" w:eastAsia="zh-CN"/>
        </w:rPr>
        <w:t>并加盖公章，</w:t>
      </w:r>
      <w:r>
        <w:rPr>
          <w:rFonts w:hint="eastAsia" w:ascii="宋体" w:hAnsi="宋体" w:eastAsia="宋体" w:cs="宋体"/>
          <w:color w:val="auto"/>
          <w:spacing w:val="2"/>
          <w:kern w:val="0"/>
          <w:sz w:val="30"/>
          <w:szCs w:val="30"/>
          <w:highlight w:val="none"/>
        </w:rPr>
        <w:t>寄送1份至厦门市虎园路2号科技</w:t>
      </w:r>
      <w:r>
        <w:rPr>
          <w:rFonts w:hint="eastAsia" w:ascii="宋体" w:hAnsi="宋体" w:eastAsia="宋体" w:cs="宋体"/>
          <w:color w:val="auto"/>
          <w:spacing w:val="2"/>
          <w:kern w:val="0"/>
          <w:sz w:val="30"/>
          <w:szCs w:val="30"/>
          <w:highlight w:val="none"/>
          <w:lang w:val="en-US" w:eastAsia="zh-CN"/>
        </w:rPr>
        <w:t>大院5号楼616</w:t>
      </w:r>
      <w:r>
        <w:rPr>
          <w:rFonts w:hint="eastAsia" w:ascii="宋体" w:hAnsi="宋体" w:eastAsia="宋体" w:cs="宋体"/>
          <w:color w:val="auto"/>
          <w:spacing w:val="2"/>
          <w:kern w:val="0"/>
          <w:sz w:val="30"/>
          <w:szCs w:val="30"/>
          <w:highlight w:val="none"/>
        </w:rPr>
        <w:t>，丁文春</w:t>
      </w:r>
      <w:r>
        <w:rPr>
          <w:rFonts w:hint="eastAsia" w:ascii="宋体" w:hAnsi="宋体" w:eastAsia="宋体" w:cs="宋体"/>
          <w:color w:val="auto"/>
          <w:spacing w:val="2"/>
          <w:kern w:val="0"/>
          <w:sz w:val="30"/>
          <w:szCs w:val="30"/>
          <w:highlight w:val="none"/>
          <w:lang w:val="en-US" w:eastAsia="zh-CN"/>
        </w:rPr>
        <w:t>(收)。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二、注意事项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08" w:firstLineChars="200"/>
        <w:jc w:val="both"/>
        <w:textAlignment w:val="auto"/>
        <w:outlineLvl w:val="9"/>
        <w:rPr>
          <w:rFonts w:hint="eastAsia"/>
          <w:lang w:val="en-US" w:eastAsia="zh-CN"/>
        </w:rPr>
      </w:pPr>
      <w:r>
        <w:rPr>
          <w:rFonts w:hint="eastAsia" w:ascii="宋体" w:hAnsi="宋体" w:eastAsia="宋体" w:cs="宋体"/>
          <w:color w:val="000000"/>
          <w:spacing w:val="2"/>
          <w:kern w:val="0"/>
          <w:sz w:val="30"/>
          <w:szCs w:val="30"/>
          <w:lang w:val="en-US" w:eastAsia="zh-CN"/>
        </w:rPr>
        <w:t>1、</w:t>
      </w:r>
      <w:r>
        <w:rPr>
          <w:rFonts w:hint="eastAsia" w:ascii="宋体" w:hAnsi="宋体" w:eastAsia="宋体" w:cs="宋体"/>
          <w:b/>
          <w:bCs/>
          <w:color w:val="000000"/>
          <w:spacing w:val="2"/>
          <w:kern w:val="0"/>
          <w:sz w:val="30"/>
          <w:szCs w:val="30"/>
          <w:u w:val="single"/>
          <w:lang w:val="en-US" w:eastAsia="zh-CN"/>
        </w:rPr>
        <w:t>企业年报提交截止时间为2025年3月20日</w:t>
      </w:r>
      <w:r>
        <w:rPr>
          <w:rFonts w:hint="eastAsia" w:ascii="宋体" w:hAnsi="宋体" w:eastAsia="宋体" w:cs="宋体"/>
          <w:b w:val="0"/>
          <w:bCs w:val="0"/>
          <w:color w:val="000000"/>
          <w:spacing w:val="2"/>
          <w:kern w:val="0"/>
          <w:sz w:val="30"/>
          <w:szCs w:val="30"/>
          <w:lang w:val="en-US" w:eastAsia="zh-CN"/>
        </w:rPr>
        <w:t>，为避免临近截止时间系统拥堵，请企业尽早安排填报，</w:t>
      </w:r>
      <w:r>
        <w:rPr>
          <w:rFonts w:hint="eastAsia" w:ascii="宋体" w:hAnsi="宋体" w:eastAsia="宋体" w:cs="宋体"/>
          <w:b/>
          <w:bCs/>
          <w:color w:val="000000"/>
          <w:spacing w:val="2"/>
          <w:kern w:val="0"/>
          <w:sz w:val="30"/>
          <w:szCs w:val="30"/>
          <w:lang w:val="en-US" w:eastAsia="zh-CN"/>
        </w:rPr>
        <w:t>未按时提交或拒绝填报可能会影响享受相关优惠政策</w:t>
      </w:r>
      <w:r>
        <w:rPr>
          <w:rFonts w:hint="eastAsia" w:ascii="宋体" w:hAnsi="宋体" w:eastAsia="宋体" w:cs="宋体"/>
          <w:b w:val="0"/>
          <w:bCs w:val="0"/>
          <w:color w:val="000000"/>
          <w:spacing w:val="2"/>
          <w:kern w:val="0"/>
          <w:sz w:val="30"/>
          <w:szCs w:val="30"/>
          <w:lang w:val="en-US" w:eastAsia="zh-CN"/>
        </w:rPr>
        <w:t>，请企业予以高度重视。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08" w:firstLineChars="200"/>
        <w:jc w:val="both"/>
        <w:textAlignment w:val="auto"/>
        <w:outlineLvl w:val="9"/>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2、今年的报表</w:t>
      </w:r>
      <w:r>
        <w:rPr>
          <w:rFonts w:hint="eastAsia" w:ascii="宋体" w:hAnsi="宋体" w:eastAsia="宋体" w:cs="宋体"/>
          <w:b/>
          <w:bCs/>
          <w:color w:val="000000"/>
          <w:spacing w:val="2"/>
          <w:kern w:val="0"/>
          <w:sz w:val="30"/>
          <w:szCs w:val="30"/>
          <w:lang w:val="en-US" w:eastAsia="zh-CN"/>
        </w:rPr>
        <w:t>新增加调整了若干指标</w:t>
      </w:r>
      <w:r>
        <w:rPr>
          <w:rFonts w:hint="eastAsia" w:ascii="宋体" w:hAnsi="宋体" w:eastAsia="宋体" w:cs="宋体"/>
          <w:color w:val="000000"/>
          <w:spacing w:val="2"/>
          <w:kern w:val="0"/>
          <w:sz w:val="30"/>
          <w:szCs w:val="30"/>
          <w:lang w:val="en-US" w:eastAsia="zh-CN"/>
        </w:rPr>
        <w:t>，企业填报过程中要多加注意，具体如下：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default"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（1）企业概况（</w:t>
      </w:r>
      <w:r>
        <w:rPr>
          <w:rFonts w:hint="eastAsia" w:ascii="宋体" w:hAnsi="宋体" w:eastAsia="宋体" w:cs="宋体"/>
          <w:b/>
          <w:bCs/>
          <w:color w:val="000000"/>
          <w:spacing w:val="2"/>
          <w:kern w:val="0"/>
          <w:sz w:val="30"/>
          <w:szCs w:val="30"/>
          <w:highlight w:val="none"/>
        </w:rPr>
        <w:t>ＧＱ－００１表</w:t>
      </w:r>
      <w:r>
        <w:rPr>
          <w:rFonts w:hint="eastAsia" w:ascii="宋体" w:hAnsi="宋体" w:eastAsia="宋体" w:cs="宋体"/>
          <w:b/>
          <w:bCs/>
          <w:color w:val="000000"/>
          <w:spacing w:val="2"/>
          <w:kern w:val="0"/>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·新增指标（14个）：</w:t>
      </w:r>
      <w:r>
        <w:rPr>
          <w:rFonts w:hint="eastAsia" w:ascii="宋体" w:hAnsi="宋体" w:eastAsia="宋体" w:cs="宋体"/>
          <w:b w:val="0"/>
          <w:bCs w:val="0"/>
          <w:color w:val="000000"/>
          <w:spacing w:val="2"/>
          <w:kern w:val="0"/>
          <w:sz w:val="30"/>
          <w:szCs w:val="30"/>
          <w:lang w:val="en-US" w:eastAsia="zh-CN"/>
        </w:rPr>
        <w:t>“港澳台商投资情况（限港澳台商投资企业填报）”“用地面积”“建筑面积”“用于生产的建筑面积”“用于研发的建筑面积”“企业所属战略性新兴产业领域”“业务系统是否向云端迁移”“是否拥有实体经济和数字经济融合相关试点、典型案例”；“企业是否进行数字化转型”及“如是，请明确本年用于数字化转型的经费投入”；“企业拥有工业机器人数量”“企业是否建立企业研发准备金”；“企业是否通过质量管理体系认证”及“如通过质量管理体系认证，适用标准为____，证书编号为____”。</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·调整指标（2个）：</w:t>
      </w:r>
      <w:r>
        <w:rPr>
          <w:rFonts w:hint="eastAsia" w:ascii="宋体" w:hAnsi="宋体" w:eastAsia="宋体" w:cs="宋体"/>
          <w:b w:val="0"/>
          <w:bCs w:val="0"/>
          <w:color w:val="000000"/>
          <w:spacing w:val="2"/>
          <w:kern w:val="0"/>
          <w:sz w:val="30"/>
          <w:szCs w:val="30"/>
          <w:lang w:val="en-US" w:eastAsia="zh-CN"/>
        </w:rPr>
        <w:t>根据国家统计局“一套表“，将“法人性质”改为“机构类型”；“登记注册类型”改为“登记注册统计类别”。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·规范指标内容（1个）：</w:t>
      </w:r>
      <w:r>
        <w:rPr>
          <w:rFonts w:hint="eastAsia" w:ascii="宋体" w:hAnsi="宋体" w:eastAsia="宋体" w:cs="宋体"/>
          <w:b w:val="0"/>
          <w:bCs w:val="0"/>
          <w:color w:val="000000"/>
          <w:spacing w:val="2"/>
          <w:kern w:val="0"/>
          <w:sz w:val="30"/>
          <w:szCs w:val="30"/>
          <w:lang w:val="en-US" w:eastAsia="zh-CN"/>
        </w:rPr>
        <w:t>根据国家统计局“一套表“，修改“执行企业会计准则情况”下拉选项为：1执行《企业会计准则》2执行《小企业会计准则》3执行《企业会计制度》。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default"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（2）经济概况（</w:t>
      </w:r>
      <w:r>
        <w:rPr>
          <w:rFonts w:hint="eastAsia" w:ascii="宋体" w:hAnsi="宋体" w:eastAsia="宋体" w:cs="宋体"/>
          <w:b/>
          <w:bCs/>
          <w:color w:val="000000"/>
          <w:spacing w:val="2"/>
          <w:kern w:val="0"/>
          <w:sz w:val="30"/>
          <w:szCs w:val="30"/>
        </w:rPr>
        <w:t>ＧＱ－００</w:t>
      </w:r>
      <w:r>
        <w:rPr>
          <w:rFonts w:hint="eastAsia" w:ascii="宋体" w:hAnsi="宋体" w:eastAsia="宋体" w:cs="宋体"/>
          <w:b/>
          <w:bCs/>
          <w:color w:val="000000"/>
          <w:spacing w:val="2"/>
          <w:kern w:val="0"/>
          <w:sz w:val="30"/>
          <w:szCs w:val="30"/>
          <w:lang w:val="en-US" w:eastAsia="zh-CN"/>
        </w:rPr>
        <w:t>2</w:t>
      </w:r>
      <w:r>
        <w:rPr>
          <w:rFonts w:hint="eastAsia" w:ascii="宋体" w:hAnsi="宋体" w:eastAsia="宋体" w:cs="宋体"/>
          <w:b/>
          <w:bCs/>
          <w:color w:val="000000"/>
          <w:spacing w:val="2"/>
          <w:kern w:val="0"/>
          <w:sz w:val="30"/>
          <w:szCs w:val="30"/>
        </w:rPr>
        <w:t>表</w:t>
      </w:r>
      <w:r>
        <w:rPr>
          <w:rFonts w:hint="eastAsia" w:ascii="宋体" w:hAnsi="宋体" w:eastAsia="宋体" w:cs="宋体"/>
          <w:b/>
          <w:bCs/>
          <w:color w:val="000000"/>
          <w:spacing w:val="2"/>
          <w:kern w:val="0"/>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·新增指标（1个）：</w:t>
      </w:r>
      <w:r>
        <w:rPr>
          <w:rFonts w:hint="eastAsia" w:ascii="宋体" w:hAnsi="宋体" w:eastAsia="宋体" w:cs="宋体"/>
          <w:b w:val="0"/>
          <w:bCs w:val="0"/>
          <w:color w:val="000000"/>
          <w:spacing w:val="2"/>
          <w:kern w:val="0"/>
          <w:sz w:val="30"/>
          <w:szCs w:val="30"/>
          <w:lang w:val="en-US" w:eastAsia="zh-CN"/>
        </w:rPr>
        <w:t>“减免税总额”其中项“其中：享受先进制造业增值税加计抵减额”。</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default"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（3）研究开发项目概况（</w:t>
      </w:r>
      <w:r>
        <w:rPr>
          <w:rFonts w:hint="eastAsia" w:ascii="宋体" w:hAnsi="宋体" w:eastAsia="宋体" w:cs="宋体"/>
          <w:b/>
          <w:bCs/>
          <w:color w:val="000000"/>
          <w:spacing w:val="2"/>
          <w:kern w:val="0"/>
          <w:sz w:val="30"/>
          <w:szCs w:val="30"/>
        </w:rPr>
        <w:t>ＧＱ－００</w:t>
      </w:r>
      <w:r>
        <w:rPr>
          <w:rFonts w:hint="eastAsia" w:ascii="宋体" w:hAnsi="宋体" w:eastAsia="宋体" w:cs="宋体"/>
          <w:b/>
          <w:bCs/>
          <w:color w:val="000000"/>
          <w:spacing w:val="2"/>
          <w:kern w:val="0"/>
          <w:sz w:val="30"/>
          <w:szCs w:val="30"/>
          <w:lang w:val="en-US" w:eastAsia="zh-CN"/>
        </w:rPr>
        <w:t>4</w:t>
      </w:r>
      <w:r>
        <w:rPr>
          <w:rFonts w:hint="eastAsia" w:ascii="宋体" w:hAnsi="宋体" w:eastAsia="宋体" w:cs="宋体"/>
          <w:b/>
          <w:bCs/>
          <w:color w:val="000000"/>
          <w:spacing w:val="2"/>
          <w:kern w:val="0"/>
          <w:sz w:val="30"/>
          <w:szCs w:val="30"/>
        </w:rPr>
        <w:t>表</w:t>
      </w:r>
      <w:r>
        <w:rPr>
          <w:rFonts w:hint="eastAsia" w:ascii="宋体" w:hAnsi="宋体" w:eastAsia="宋体" w:cs="宋体"/>
          <w:b/>
          <w:bCs/>
          <w:color w:val="000000"/>
          <w:spacing w:val="2"/>
          <w:kern w:val="0"/>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·新增指标（1个）：</w:t>
      </w:r>
      <w:r>
        <w:rPr>
          <w:rFonts w:hint="eastAsia" w:ascii="宋体" w:hAnsi="宋体" w:eastAsia="宋体" w:cs="宋体"/>
          <w:b w:val="0"/>
          <w:bCs w:val="0"/>
          <w:color w:val="000000"/>
          <w:spacing w:val="2"/>
          <w:kern w:val="0"/>
          <w:sz w:val="30"/>
          <w:szCs w:val="30"/>
          <w:lang w:val="en-US" w:eastAsia="zh-CN"/>
        </w:rPr>
        <w:t>“国家级科技项目资金”。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·调整指标（1个）：</w:t>
      </w:r>
      <w:r>
        <w:rPr>
          <w:rFonts w:hint="eastAsia" w:ascii="宋体" w:hAnsi="宋体" w:eastAsia="宋体" w:cs="宋体"/>
          <w:b w:val="0"/>
          <w:bCs w:val="0"/>
          <w:color w:val="000000"/>
          <w:spacing w:val="2"/>
          <w:kern w:val="0"/>
          <w:sz w:val="30"/>
          <w:szCs w:val="30"/>
          <w:lang w:val="en-US" w:eastAsia="zh-CN"/>
        </w:rPr>
        <w:t>根据国家统计局“一套表“，将“参加项目人员”改为“项目研究开发人员”。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（4）研究开发活动及相关情况（</w:t>
      </w:r>
      <w:r>
        <w:rPr>
          <w:rFonts w:hint="eastAsia" w:ascii="宋体" w:hAnsi="宋体" w:eastAsia="宋体" w:cs="宋体"/>
          <w:b/>
          <w:bCs/>
          <w:color w:val="000000"/>
          <w:spacing w:val="2"/>
          <w:kern w:val="0"/>
          <w:sz w:val="30"/>
          <w:szCs w:val="30"/>
        </w:rPr>
        <w:t>ＧＱ－００</w:t>
      </w:r>
      <w:r>
        <w:rPr>
          <w:rFonts w:hint="eastAsia" w:ascii="宋体" w:hAnsi="宋体" w:eastAsia="宋体" w:cs="宋体"/>
          <w:b/>
          <w:bCs/>
          <w:color w:val="000000"/>
          <w:spacing w:val="2"/>
          <w:kern w:val="0"/>
          <w:sz w:val="30"/>
          <w:szCs w:val="30"/>
          <w:lang w:val="en-US" w:eastAsia="zh-CN"/>
        </w:rPr>
        <w:t>5</w:t>
      </w:r>
      <w:r>
        <w:rPr>
          <w:rFonts w:hint="eastAsia" w:ascii="宋体" w:hAnsi="宋体" w:eastAsia="宋体" w:cs="宋体"/>
          <w:b/>
          <w:bCs/>
          <w:color w:val="000000"/>
          <w:spacing w:val="2"/>
          <w:kern w:val="0"/>
          <w:sz w:val="30"/>
          <w:szCs w:val="30"/>
        </w:rPr>
        <w:t>表</w:t>
      </w:r>
      <w:r>
        <w:rPr>
          <w:rFonts w:hint="eastAsia" w:ascii="宋体" w:hAnsi="宋体" w:eastAsia="宋体" w:cs="宋体"/>
          <w:b/>
          <w:bCs/>
          <w:color w:val="000000"/>
          <w:spacing w:val="2"/>
          <w:kern w:val="0"/>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10" w:firstLineChars="200"/>
        <w:jc w:val="both"/>
        <w:textAlignment w:val="auto"/>
        <w:outlineLvl w:val="9"/>
        <w:rPr>
          <w:rFonts w:hint="eastAsia" w:ascii="宋体" w:hAnsi="宋体" w:eastAsia="宋体" w:cs="宋体"/>
          <w:b w:val="0"/>
          <w:bCs w:val="0"/>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·新增指标（3个）：</w:t>
      </w:r>
      <w:r>
        <w:rPr>
          <w:rFonts w:hint="eastAsia" w:ascii="宋体" w:hAnsi="宋体" w:eastAsia="宋体" w:cs="宋体"/>
          <w:b w:val="0"/>
          <w:bCs w:val="0"/>
          <w:color w:val="000000"/>
          <w:spacing w:val="2"/>
          <w:kern w:val="0"/>
          <w:sz w:val="30"/>
          <w:szCs w:val="30"/>
          <w:lang w:val="en-US" w:eastAsia="zh-CN"/>
        </w:rPr>
        <w:t>“近两年承担建设省级及以上研发或创新平台数量”“近两年获得省级及以上科技奖励数量”“近两年承担省级及以上科技计划项目数量”。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08" w:firstLineChars="200"/>
        <w:jc w:val="both"/>
        <w:textAlignment w:val="auto"/>
        <w:outlineLvl w:val="9"/>
        <w:rPr>
          <w:rFonts w:hint="eastAsia" w:ascii="宋体" w:hAnsi="宋体" w:eastAsia="宋体" w:cs="宋体"/>
          <w:color w:val="000000"/>
          <w:spacing w:val="2"/>
          <w:kern w:val="0"/>
          <w:sz w:val="30"/>
          <w:szCs w:val="30"/>
          <w:lang w:val="en-US" w:eastAsia="zh-CN"/>
        </w:rPr>
      </w:pPr>
      <w:r>
        <w:rPr>
          <w:rFonts w:hint="eastAsia" w:ascii="宋体" w:hAnsi="宋体" w:eastAsia="宋体" w:cs="宋体"/>
          <w:b w:val="0"/>
          <w:bCs w:val="0"/>
          <w:color w:val="000000"/>
          <w:spacing w:val="2"/>
          <w:kern w:val="0"/>
          <w:sz w:val="30"/>
          <w:szCs w:val="30"/>
          <w:lang w:val="en-US" w:eastAsia="zh-CN"/>
        </w:rPr>
        <w:t>3、填报时可参考系统上相关指标解释，并注意填报界面文字提示。注意看清</w:t>
      </w:r>
      <w:r>
        <w:rPr>
          <w:rFonts w:hint="eastAsia" w:ascii="宋体" w:hAnsi="宋体" w:eastAsia="宋体" w:cs="宋体"/>
          <w:color w:val="000000"/>
          <w:spacing w:val="2"/>
          <w:kern w:val="0"/>
          <w:sz w:val="30"/>
          <w:szCs w:val="30"/>
          <w:lang w:val="en-US" w:eastAsia="zh-CN"/>
        </w:rPr>
        <w:t>填报数值单位、格式要求等，特别要注意相互间的逻辑关系。上报要做到及时、准确、真实、完整。</w:t>
      </w:r>
    </w:p>
    <w:p>
      <w:pPr>
        <w:pStyle w:val="2"/>
        <w:jc w:val="center"/>
        <w:rPr>
          <w:rFonts w:hint="eastAsia"/>
          <w:lang w:val="en-US" w:eastAsia="zh-CN"/>
        </w:rPr>
      </w:pPr>
      <w:r>
        <w:drawing>
          <wp:anchor distT="0" distB="0" distL="114300" distR="114300" simplePos="0" relativeHeight="251684864" behindDoc="0" locked="0" layoutInCell="1" allowOverlap="1">
            <wp:simplePos x="0" y="0"/>
            <wp:positionH relativeFrom="column">
              <wp:posOffset>36195</wp:posOffset>
            </wp:positionH>
            <wp:positionV relativeFrom="paragraph">
              <wp:posOffset>86995</wp:posOffset>
            </wp:positionV>
            <wp:extent cx="5245100" cy="2404745"/>
            <wp:effectExtent l="0" t="0" r="12700" b="14605"/>
            <wp:wrapNone/>
            <wp:docPr id="31" name="图片 12" descr="C:\Users\马克图布\Desktop\effbd265f4d046404c61ea015c72af1.pngeffbd265f4d046404c61ea015c72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马克图布\Desktop\effbd265f4d046404c61ea015c72af1.pngeffbd265f4d046404c61ea015c72af1"/>
                    <pic:cNvPicPr>
                      <a:picLocks noChangeAspect="1"/>
                    </pic:cNvPicPr>
                  </pic:nvPicPr>
                  <pic:blipFill>
                    <a:blip r:embed="rId24"/>
                    <a:srcRect/>
                    <a:stretch>
                      <a:fillRect/>
                    </a:stretch>
                  </pic:blipFill>
                  <pic:spPr>
                    <a:xfrm>
                      <a:off x="0" y="0"/>
                      <a:ext cx="5245100" cy="24047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08" w:firstLineChars="200"/>
        <w:jc w:val="left"/>
        <w:textAlignment w:val="auto"/>
        <w:rPr>
          <w:rFonts w:hint="eastAsia" w:ascii="宋体" w:hAnsi="宋体" w:eastAsia="宋体" w:cs="宋体"/>
          <w:color w:val="000000"/>
          <w:spacing w:val="2"/>
          <w:kern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08" w:firstLineChars="200"/>
        <w:jc w:val="left"/>
        <w:textAlignment w:val="auto"/>
        <w:rPr>
          <w:rFonts w:hint="eastAsia" w:ascii="宋体" w:hAnsi="宋体" w:eastAsia="宋体" w:cs="宋体"/>
          <w:color w:val="000000"/>
          <w:spacing w:val="2"/>
          <w:kern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08" w:firstLineChars="200"/>
        <w:jc w:val="left"/>
        <w:textAlignment w:val="auto"/>
        <w:rPr>
          <w:rFonts w:hint="eastAsia" w:ascii="宋体" w:hAnsi="宋体" w:eastAsia="宋体" w:cs="宋体"/>
          <w:color w:val="000000"/>
          <w:spacing w:val="2"/>
          <w:kern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08" w:firstLineChars="200"/>
        <w:jc w:val="left"/>
        <w:textAlignment w:val="auto"/>
        <w:rPr>
          <w:rFonts w:hint="eastAsia" w:ascii="宋体" w:hAnsi="宋体" w:eastAsia="宋体" w:cs="宋体"/>
          <w:color w:val="000000"/>
          <w:spacing w:val="2"/>
          <w:kern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608" w:firstLineChars="200"/>
        <w:jc w:val="left"/>
        <w:textAlignment w:val="auto"/>
        <w:rPr>
          <w:rFonts w:hint="eastAsia" w:ascii="宋体" w:hAnsi="宋体" w:eastAsia="宋体" w:cs="宋体"/>
          <w:color w:val="000000"/>
          <w:spacing w:val="2"/>
          <w:kern w:val="0"/>
          <w:sz w:val="30"/>
          <w:szCs w:val="30"/>
          <w:lang w:val="en-US" w:eastAsia="zh-CN"/>
        </w:rPr>
      </w:pPr>
    </w:p>
    <w:p>
      <w:pPr>
        <w:pStyle w:val="2"/>
        <w:rPr>
          <w:rFonts w:hint="eastAsia" w:ascii="宋体" w:hAnsi="宋体" w:eastAsia="宋体" w:cs="宋体"/>
          <w:color w:val="000000"/>
          <w:spacing w:val="2"/>
          <w:kern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rPr>
          <w:rFonts w:hint="default" w:ascii="宋体" w:hAnsi="宋体" w:eastAsia="宋体" w:cs="宋体"/>
          <w:color w:val="000000"/>
          <w:spacing w:val="2"/>
          <w:kern w:val="0"/>
          <w:sz w:val="30"/>
          <w:szCs w:val="30"/>
          <w:highlight w:val="none"/>
          <w:lang w:val="en-US" w:eastAsia="zh-CN"/>
        </w:rPr>
      </w:pPr>
      <w:r>
        <w:rPr>
          <w:rFonts w:hint="eastAsia" w:ascii="宋体" w:hAnsi="宋体" w:eastAsia="宋体" w:cs="宋体"/>
          <w:color w:val="000000"/>
          <w:spacing w:val="2"/>
          <w:kern w:val="0"/>
          <w:sz w:val="30"/>
          <w:szCs w:val="30"/>
          <w:highlight w:val="none"/>
          <w:lang w:val="en-US" w:eastAsia="zh-CN"/>
        </w:rPr>
        <w:t>4、企业填报完成后，须确保系统无“错误”提示，方可提交。</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rPr>
          <w:rFonts w:hint="eastAsia" w:ascii="宋体" w:hAnsi="宋体" w:eastAsia="宋体" w:cs="宋体"/>
          <w:color w:val="000000"/>
          <w:spacing w:val="2"/>
          <w:kern w:val="0"/>
          <w:sz w:val="30"/>
          <w:szCs w:val="30"/>
          <w:highlight w:val="none"/>
          <w:lang w:val="en-US" w:eastAsia="zh-CN"/>
        </w:rPr>
      </w:pPr>
      <w:r>
        <w:rPr>
          <w:rFonts w:hint="eastAsia" w:ascii="宋体" w:hAnsi="宋体" w:eastAsia="宋体" w:cs="宋体"/>
          <w:color w:val="000000"/>
          <w:spacing w:val="2"/>
          <w:kern w:val="0"/>
          <w:sz w:val="30"/>
          <w:szCs w:val="30"/>
          <w:lang w:val="en-US" w:eastAsia="zh-CN"/>
        </w:rPr>
        <w:t>5、企业在填报时</w:t>
      </w:r>
      <w:r>
        <w:rPr>
          <w:rFonts w:hint="eastAsia" w:ascii="宋体" w:hAnsi="宋体" w:eastAsia="宋体" w:cs="宋体"/>
          <w:b w:val="0"/>
          <w:bCs w:val="0"/>
          <w:color w:val="000000"/>
          <w:spacing w:val="2"/>
          <w:kern w:val="0"/>
          <w:sz w:val="30"/>
          <w:szCs w:val="30"/>
          <w:lang w:val="en-US" w:eastAsia="zh-CN"/>
        </w:rPr>
        <w:t>应注意相关指标数据</w:t>
      </w:r>
      <w:r>
        <w:rPr>
          <w:rFonts w:hint="eastAsia" w:ascii="宋体" w:hAnsi="宋体" w:eastAsia="宋体" w:cs="宋体"/>
          <w:b w:val="0"/>
          <w:bCs w:val="0"/>
          <w:color w:val="000000"/>
          <w:spacing w:val="2"/>
          <w:kern w:val="0"/>
          <w:sz w:val="30"/>
          <w:szCs w:val="30"/>
          <w:highlight w:val="none"/>
          <w:lang w:val="en-US" w:eastAsia="zh-CN"/>
        </w:rPr>
        <w:t>是否</w:t>
      </w:r>
      <w:r>
        <w:rPr>
          <w:rFonts w:hint="eastAsia" w:ascii="宋体" w:hAnsi="宋体" w:eastAsia="宋体" w:cs="宋体"/>
          <w:b w:val="0"/>
          <w:bCs w:val="0"/>
          <w:color w:val="000000"/>
          <w:spacing w:val="2"/>
          <w:kern w:val="0"/>
          <w:sz w:val="30"/>
          <w:szCs w:val="30"/>
          <w:lang w:val="en-US" w:eastAsia="zh-CN"/>
        </w:rPr>
        <w:t>符合</w:t>
      </w:r>
      <w:r>
        <w:rPr>
          <w:rFonts w:hint="eastAsia" w:ascii="宋体" w:hAnsi="宋体" w:eastAsia="宋体" w:cs="宋体"/>
          <w:b w:val="0"/>
          <w:bCs w:val="0"/>
          <w:color w:val="000000"/>
          <w:spacing w:val="2"/>
          <w:kern w:val="0"/>
          <w:sz w:val="30"/>
          <w:szCs w:val="30"/>
          <w:highlight w:val="none"/>
          <w:lang w:val="en-US" w:eastAsia="zh-CN"/>
        </w:rPr>
        <w:t>高企的基本门槛，</w:t>
      </w:r>
      <w:r>
        <w:rPr>
          <w:rFonts w:hint="eastAsia" w:ascii="宋体" w:hAnsi="宋体" w:eastAsia="宋体" w:cs="宋体"/>
          <w:color w:val="000000"/>
          <w:spacing w:val="2"/>
          <w:kern w:val="0"/>
          <w:sz w:val="30"/>
          <w:szCs w:val="30"/>
          <w:highlight w:val="none"/>
          <w:lang w:val="en-US" w:eastAsia="zh-CN"/>
        </w:rPr>
        <w:t>如科技人员占比、高新产品收入占比、研发费用占比等。请务必关注数据指标变化幅度，避免看错单位、错填行等失误造成数据多报或漏报。实际审核过程中，常有发现企业完全不看数据波动提示，填错数据。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rPr>
          <w:rFonts w:hint="eastAsia" w:ascii="宋体" w:hAnsi="宋体" w:eastAsia="宋体" w:cs="宋体"/>
          <w:color w:val="000000"/>
          <w:spacing w:val="2"/>
          <w:kern w:val="0"/>
          <w:sz w:val="30"/>
          <w:szCs w:val="30"/>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000000"/>
          <w:spacing w:val="2"/>
          <w:kern w:val="0"/>
          <w:sz w:val="30"/>
          <w:szCs w:val="30"/>
          <w:lang w:val="en-US" w:eastAsia="zh-CN" w:bidi="ar-SA"/>
        </w:rPr>
        <w:t>6、2024年度主要币种平均汇率请登录中国外汇交易中心网站（</w:t>
      </w:r>
      <w:r>
        <w:rPr>
          <w:rFonts w:hint="eastAsia" w:ascii="宋体" w:hAnsi="宋体" w:eastAsia="宋体" w:cs="宋体"/>
          <w:color w:val="000000"/>
          <w:spacing w:val="2"/>
          <w:kern w:val="0"/>
          <w:sz w:val="30"/>
          <w:szCs w:val="30"/>
          <w:u w:val="single"/>
          <w:lang w:val="en-US" w:eastAsia="zh-CN" w:bidi="ar-SA"/>
        </w:rPr>
        <w:t>https://www.chinamoney.com.cn/</w:t>
      </w:r>
      <w:r>
        <w:rPr>
          <w:rFonts w:hint="eastAsia" w:ascii="宋体" w:hAnsi="宋体" w:eastAsia="宋体" w:cs="宋体"/>
          <w:color w:val="000000"/>
          <w:spacing w:val="2"/>
          <w:kern w:val="0"/>
          <w:sz w:val="30"/>
          <w:szCs w:val="30"/>
          <w:lang w:val="en-US" w:eastAsia="zh-CN" w:bidi="ar-SA"/>
        </w:rPr>
        <w:t>）查询其公布的“年平均汇率”数据。</w:t>
      </w:r>
    </w:p>
    <w:p>
      <w:pPr>
        <w:keepNext w:val="0"/>
        <w:keepLines w:val="0"/>
        <w:pageBreakBefore w:val="0"/>
        <w:widowControl w:val="0"/>
        <w:kinsoku/>
        <w:wordWrap/>
        <w:overflowPunct/>
        <w:topLinePunct w:val="0"/>
        <w:autoSpaceDE/>
        <w:autoSpaceDN/>
        <w:bidi w:val="0"/>
        <w:adjustRightInd/>
        <w:snapToGrid/>
        <w:spacing w:line="360" w:lineRule="auto"/>
        <w:ind w:right="958"/>
        <w:jc w:val="left"/>
        <w:textAlignment w:val="auto"/>
        <w:rPr>
          <w:rFonts w:hint="eastAsia"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附件3</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000000"/>
          <w:spacing w:val="2"/>
          <w:kern w:val="0"/>
          <w:sz w:val="32"/>
          <w:szCs w:val="32"/>
        </w:rPr>
      </w:pPr>
      <w:r>
        <w:rPr>
          <w:rFonts w:hint="eastAsia" w:ascii="宋体" w:hAnsi="宋体" w:eastAsia="宋体" w:cs="宋体"/>
          <w:b/>
          <w:sz w:val="36"/>
          <w:szCs w:val="36"/>
          <w:lang w:val="en-US" w:eastAsia="zh-CN"/>
        </w:rPr>
        <w:t>年度高新技术企业发展情况报表填报说明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08" w:firstLineChars="200"/>
        <w:jc w:val="both"/>
        <w:textAlignment w:val="auto"/>
        <w:outlineLvl w:val="9"/>
        <w:rPr>
          <w:rFonts w:hint="eastAsia" w:ascii="宋体" w:hAnsi="宋体" w:eastAsia="宋体" w:cs="宋体"/>
          <w:color w:val="000000"/>
          <w:spacing w:val="2"/>
          <w:kern w:val="0"/>
          <w:sz w:val="30"/>
          <w:szCs w:val="30"/>
          <w:highlight w:val="none"/>
        </w:rPr>
      </w:pPr>
      <w:r>
        <w:rPr>
          <w:rFonts w:hint="eastAsia" w:ascii="宋体" w:hAnsi="宋体" w:eastAsia="宋体" w:cs="宋体"/>
          <w:color w:val="000000"/>
          <w:spacing w:val="2"/>
          <w:kern w:val="0"/>
          <w:sz w:val="30"/>
          <w:szCs w:val="30"/>
          <w:highlight w:val="none"/>
          <w:lang w:val="en-US" w:eastAsia="zh-CN"/>
        </w:rPr>
        <w:t>根据《高新技术企业认定管理工作办法》（国科发火〔2016〕32号）规定，资格</w:t>
      </w:r>
      <w:r>
        <w:rPr>
          <w:rFonts w:hint="eastAsia" w:ascii="宋体" w:hAnsi="宋体" w:eastAsia="宋体" w:cs="宋体"/>
          <w:color w:val="000000"/>
          <w:spacing w:val="2"/>
          <w:kern w:val="0"/>
          <w:sz w:val="30"/>
          <w:szCs w:val="30"/>
        </w:rPr>
        <w:t>有效期内</w:t>
      </w:r>
      <w:r>
        <w:rPr>
          <w:rFonts w:hint="eastAsia" w:ascii="宋体" w:hAnsi="宋体" w:eastAsia="宋体" w:cs="宋体"/>
          <w:color w:val="000000"/>
          <w:spacing w:val="2"/>
          <w:kern w:val="0"/>
          <w:sz w:val="30"/>
          <w:szCs w:val="30"/>
          <w:lang w:val="en-US" w:eastAsia="zh-CN"/>
        </w:rPr>
        <w:t>国家级</w:t>
      </w:r>
      <w:r>
        <w:rPr>
          <w:rFonts w:hint="eastAsia" w:ascii="宋体" w:hAnsi="宋体" w:eastAsia="宋体" w:cs="宋体"/>
          <w:color w:val="000000"/>
          <w:spacing w:val="2"/>
          <w:kern w:val="0"/>
          <w:sz w:val="30"/>
          <w:szCs w:val="30"/>
        </w:rPr>
        <w:t>高企应</w:t>
      </w:r>
      <w:r>
        <w:rPr>
          <w:rFonts w:hint="eastAsia" w:ascii="宋体" w:hAnsi="宋体" w:eastAsia="宋体" w:cs="宋体"/>
          <w:color w:val="000000"/>
          <w:spacing w:val="2"/>
          <w:kern w:val="0"/>
          <w:sz w:val="30"/>
          <w:szCs w:val="30"/>
          <w:lang w:val="en-US" w:eastAsia="zh-CN"/>
        </w:rPr>
        <w:t>在</w:t>
      </w:r>
      <w:r>
        <w:rPr>
          <w:rFonts w:hint="eastAsia" w:ascii="宋体" w:hAnsi="宋体" w:eastAsia="宋体" w:cs="宋体"/>
          <w:color w:val="000000"/>
          <w:spacing w:val="2"/>
          <w:kern w:val="0"/>
          <w:sz w:val="30"/>
          <w:szCs w:val="30"/>
        </w:rPr>
        <w:t>每年5月底前填报上一年度知识产权、科技人员、研发费用、经营收入等年度发展情况报表。《高新技术企业认定管理办法》第四章第十九条第三款：</w:t>
      </w:r>
      <w:r>
        <w:rPr>
          <w:rFonts w:hint="eastAsia" w:ascii="宋体" w:hAnsi="宋体" w:eastAsia="宋体" w:cs="宋体"/>
          <w:b/>
          <w:bCs/>
          <w:color w:val="000000"/>
          <w:spacing w:val="2"/>
          <w:kern w:val="0"/>
          <w:sz w:val="30"/>
          <w:szCs w:val="30"/>
        </w:rPr>
        <w:t>已认定的高新技术企业累计两年未填报年度发展情况报表的，</w:t>
      </w:r>
      <w:r>
        <w:rPr>
          <w:rFonts w:hint="eastAsia" w:ascii="宋体" w:hAnsi="宋体" w:eastAsia="宋体" w:cs="宋体"/>
          <w:b/>
          <w:bCs/>
          <w:color w:val="000000"/>
          <w:spacing w:val="2"/>
          <w:kern w:val="0"/>
          <w:sz w:val="30"/>
          <w:szCs w:val="30"/>
          <w:lang w:val="en-US" w:eastAsia="zh-CN"/>
        </w:rPr>
        <w:t>将</w:t>
      </w:r>
      <w:r>
        <w:rPr>
          <w:rFonts w:hint="eastAsia" w:ascii="宋体" w:hAnsi="宋体" w:eastAsia="宋体" w:cs="宋体"/>
          <w:b/>
          <w:bCs/>
          <w:color w:val="000000"/>
          <w:spacing w:val="2"/>
          <w:kern w:val="0"/>
          <w:sz w:val="30"/>
          <w:szCs w:val="30"/>
        </w:rPr>
        <w:t>取消其高新技术企业资格</w:t>
      </w:r>
      <w:r>
        <w:rPr>
          <w:rFonts w:hint="eastAsia" w:ascii="宋体" w:hAnsi="宋体" w:eastAsia="宋体" w:cs="宋体"/>
          <w:b/>
          <w:bCs/>
          <w:color w:val="000000"/>
          <w:spacing w:val="2"/>
          <w:kern w:val="0"/>
          <w:sz w:val="30"/>
          <w:szCs w:val="30"/>
          <w:highlight w:val="none"/>
        </w:rPr>
        <w:t>。</w:t>
      </w:r>
      <w:r>
        <w:rPr>
          <w:rFonts w:hint="eastAsia" w:ascii="宋体" w:hAnsi="宋体" w:eastAsia="宋体" w:cs="宋体"/>
          <w:color w:val="000000"/>
          <w:spacing w:val="2"/>
          <w:kern w:val="0"/>
          <w:sz w:val="30"/>
          <w:szCs w:val="30"/>
          <w:highlight w:val="none"/>
          <w:lang w:val="en-US" w:eastAsia="zh-CN"/>
        </w:rPr>
        <w:t>对被取消高新技术企业资格的企业，由认定机构通知税务机关按《税收征管法》及有关规定，追缴其自发生上述行为之日所属年度起已享受的高新技术企业税收优惠。</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610" w:firstLineChars="200"/>
        <w:jc w:val="both"/>
        <w:textAlignment w:val="auto"/>
        <w:outlineLvl w:val="9"/>
        <w:rPr>
          <w:rFonts w:hint="eastAsia" w:ascii="宋体" w:hAnsi="宋体" w:eastAsia="宋体" w:cs="宋体"/>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填报说明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8" w:firstLineChars="200"/>
        <w:jc w:val="both"/>
        <w:textAlignment w:val="auto"/>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1、登录方式：工业和信息化部火炬中心（http://www.chinatorch.gov.cn），点击“在线服务—火炬统计调查—我要办理”进入</w:t>
      </w:r>
      <w:r>
        <w:rPr>
          <w:rFonts w:hint="eastAsia" w:ascii="宋体" w:hAnsi="宋体" w:eastAsia="宋体" w:cs="宋体"/>
          <w:b/>
          <w:bCs/>
          <w:color w:val="000000"/>
          <w:spacing w:val="2"/>
          <w:kern w:val="0"/>
          <w:sz w:val="30"/>
          <w:szCs w:val="30"/>
          <w:lang w:val="en-US" w:eastAsia="zh-CN"/>
        </w:rPr>
        <w:t>统一身份认证与单点登录平台</w:t>
      </w:r>
      <w:r>
        <w:rPr>
          <w:rFonts w:hint="eastAsia" w:ascii="宋体" w:hAnsi="宋体" w:eastAsia="宋体" w:cs="宋体"/>
          <w:color w:val="000000"/>
          <w:spacing w:val="2"/>
          <w:kern w:val="0"/>
          <w:sz w:val="30"/>
          <w:szCs w:val="30"/>
          <w:lang w:val="en-US" w:eastAsia="zh-CN"/>
        </w:rPr>
        <w:t>（网址：https://hjrz.chinatorch.org.cn/login）进行登录填报。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8" w:firstLineChars="200"/>
        <w:jc w:val="both"/>
        <w:textAlignment w:val="auto"/>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eastAsia="zh-CN"/>
        </w:rPr>
        <w:drawing>
          <wp:anchor distT="0" distB="0" distL="114300" distR="114300" simplePos="0" relativeHeight="251688960" behindDoc="1" locked="0" layoutInCell="1" allowOverlap="1">
            <wp:simplePos x="0" y="0"/>
            <wp:positionH relativeFrom="column">
              <wp:posOffset>39370</wp:posOffset>
            </wp:positionH>
            <wp:positionV relativeFrom="paragraph">
              <wp:posOffset>1782445</wp:posOffset>
            </wp:positionV>
            <wp:extent cx="5962015" cy="1145540"/>
            <wp:effectExtent l="0" t="0" r="635" b="16510"/>
            <wp:wrapThrough wrapText="bothSides">
              <wp:wrapPolygon>
                <wp:start x="0" y="0"/>
                <wp:lineTo x="0" y="21193"/>
                <wp:lineTo x="21533" y="21193"/>
                <wp:lineTo x="21533" y="0"/>
                <wp:lineTo x="0" y="0"/>
              </wp:wrapPolygon>
            </wp:wrapThrough>
            <wp:docPr id="2" name="图片 2" descr="f57433e6e61998283005be5aeeed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7433e6e61998283005be5aeeed9a7"/>
                    <pic:cNvPicPr>
                      <a:picLocks noChangeAspect="1"/>
                    </pic:cNvPicPr>
                  </pic:nvPicPr>
                  <pic:blipFill>
                    <a:blip r:embed="rId25"/>
                    <a:stretch>
                      <a:fillRect/>
                    </a:stretch>
                  </pic:blipFill>
                  <pic:spPr>
                    <a:xfrm>
                      <a:off x="0" y="0"/>
                      <a:ext cx="5962015" cy="1145540"/>
                    </a:xfrm>
                    <a:prstGeom prst="rect">
                      <a:avLst/>
                    </a:prstGeom>
                  </pic:spPr>
                </pic:pic>
              </a:graphicData>
            </a:graphic>
          </wp:anchor>
        </w:drawing>
      </w:r>
      <w:r>
        <w:rPr>
          <w:rFonts w:hint="eastAsia" w:ascii="宋体" w:hAnsi="宋体" w:eastAsia="宋体" w:cs="宋体"/>
          <w:color w:val="000000"/>
          <w:spacing w:val="2"/>
          <w:kern w:val="0"/>
          <w:sz w:val="30"/>
          <w:szCs w:val="30"/>
          <w:lang w:val="en-US" w:eastAsia="zh-CN"/>
        </w:rPr>
        <w:t>2、进入统一身份认证与单点登录平台填报：登录后在首页企业服务中，选择“工业和信息化部火炬统计调查”→“我要办理”，进入工信部火炬统计信息调查系统；选择“</w:t>
      </w:r>
      <w:r>
        <w:rPr>
          <w:rFonts w:hint="eastAsia" w:ascii="宋体" w:hAnsi="宋体" w:eastAsia="宋体" w:cs="宋体"/>
          <w:b/>
          <w:bCs/>
          <w:color w:val="000000"/>
          <w:spacing w:val="2"/>
          <w:kern w:val="0"/>
          <w:sz w:val="30"/>
          <w:szCs w:val="30"/>
          <w:u w:val="single"/>
          <w:lang w:val="en-US" w:eastAsia="zh-CN"/>
        </w:rPr>
        <w:t>高企发展情况</w:t>
      </w:r>
      <w:r>
        <w:rPr>
          <w:rFonts w:hint="eastAsia" w:ascii="宋体" w:hAnsi="宋体" w:eastAsia="宋体" w:cs="宋体"/>
          <w:color w:val="000000"/>
          <w:spacing w:val="2"/>
          <w:kern w:val="0"/>
          <w:sz w:val="30"/>
          <w:szCs w:val="30"/>
          <w:lang w:val="en-US" w:eastAsia="zh-CN"/>
        </w:rPr>
        <w:t>”→“数据管理”→“填报”，</w:t>
      </w:r>
      <w:r>
        <w:rPr>
          <w:rFonts w:hint="eastAsia" w:ascii="宋体" w:hAnsi="宋体" w:eastAsia="宋体" w:cs="宋体"/>
          <w:color w:val="000000"/>
          <w:spacing w:val="2"/>
          <w:kern w:val="0"/>
          <w:sz w:val="30"/>
          <w:szCs w:val="30"/>
        </w:rPr>
        <w:t>按照系统提示分步进行填报，填写完毕</w:t>
      </w:r>
      <w:r>
        <w:rPr>
          <w:rFonts w:hint="eastAsia" w:ascii="宋体" w:hAnsi="宋体" w:eastAsia="宋体" w:cs="宋体"/>
          <w:color w:val="000000"/>
          <w:spacing w:val="2"/>
          <w:kern w:val="0"/>
          <w:sz w:val="30"/>
          <w:szCs w:val="30"/>
          <w:lang w:eastAsia="zh-CN"/>
        </w:rPr>
        <w:t>、</w:t>
      </w:r>
      <w:r>
        <w:rPr>
          <w:rFonts w:hint="eastAsia" w:ascii="宋体" w:hAnsi="宋体" w:eastAsia="宋体" w:cs="宋体"/>
          <w:color w:val="000000"/>
          <w:spacing w:val="2"/>
          <w:kern w:val="0"/>
          <w:sz w:val="30"/>
          <w:szCs w:val="30"/>
          <w:lang w:val="en-US" w:eastAsia="zh-CN"/>
        </w:rPr>
        <w:t>检查无“错误”提示后点击“</w:t>
      </w:r>
      <w:r>
        <w:rPr>
          <w:rFonts w:hint="eastAsia" w:ascii="宋体" w:hAnsi="宋体" w:eastAsia="宋体" w:cs="宋体"/>
          <w:b/>
          <w:bCs/>
          <w:color w:val="000000"/>
          <w:spacing w:val="2"/>
          <w:kern w:val="0"/>
          <w:sz w:val="30"/>
          <w:szCs w:val="30"/>
          <w:lang w:val="en-US" w:eastAsia="zh-CN"/>
        </w:rPr>
        <w:t>提交</w:t>
      </w:r>
      <w:r>
        <w:rPr>
          <w:rFonts w:hint="eastAsia" w:ascii="宋体" w:hAnsi="宋体" w:eastAsia="宋体" w:cs="宋体"/>
          <w:color w:val="000000"/>
          <w:spacing w:val="2"/>
          <w:kern w:val="0"/>
          <w:sz w:val="30"/>
          <w:szCs w:val="30"/>
          <w:lang w:val="en-US" w:eastAsia="zh-CN"/>
        </w:rPr>
        <w:t>”</w:t>
      </w:r>
      <w:r>
        <w:rPr>
          <w:rFonts w:hint="eastAsia" w:ascii="宋体" w:hAnsi="宋体" w:eastAsia="宋体" w:cs="宋体"/>
          <w:color w:val="000000"/>
          <w:spacing w:val="2"/>
          <w:kern w:val="0"/>
          <w:sz w:val="30"/>
          <w:szCs w:val="30"/>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3、填报对象：资格有效期内的国家级高新技术企业。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宋体" w:hAnsi="宋体" w:eastAsia="宋体" w:cs="宋体"/>
          <w:color w:val="000000"/>
          <w:spacing w:val="2"/>
          <w:kern w:val="0"/>
          <w:sz w:val="30"/>
          <w:szCs w:val="30"/>
          <w:lang w:val="en-US" w:eastAsia="zh-CN" w:bidi="ar-SA"/>
        </w:rPr>
      </w:pPr>
      <w:r>
        <w:rPr>
          <w:rFonts w:hint="eastAsia" w:ascii="宋体" w:hAnsi="宋体" w:eastAsia="宋体" w:cs="宋体"/>
          <w:color w:val="000000"/>
          <w:spacing w:val="2"/>
          <w:kern w:val="0"/>
          <w:sz w:val="30"/>
          <w:szCs w:val="30"/>
          <w:lang w:val="en-US" w:eastAsia="zh-CN"/>
        </w:rPr>
        <w:t>4</w:t>
      </w:r>
      <w:r>
        <w:rPr>
          <w:rFonts w:hint="eastAsia" w:ascii="宋体" w:hAnsi="宋体" w:eastAsia="宋体" w:cs="宋体"/>
          <w:color w:val="000000"/>
          <w:spacing w:val="2"/>
          <w:kern w:val="0"/>
          <w:sz w:val="30"/>
          <w:szCs w:val="30"/>
          <w:lang w:val="en-US" w:eastAsia="zh-CN" w:bidi="ar-SA"/>
        </w:rPr>
        <w:t>、填报截止时间：2025年5月31日前。</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610" w:firstLineChars="200"/>
        <w:jc w:val="both"/>
        <w:textAlignment w:val="auto"/>
        <w:outlineLvl w:val="9"/>
        <w:rPr>
          <w:rFonts w:hint="eastAsia" w:ascii="宋体" w:hAnsi="宋体" w:eastAsia="宋体" w:cs="宋体"/>
          <w:b/>
          <w:bCs/>
          <w:color w:val="000000"/>
          <w:spacing w:val="2"/>
          <w:kern w:val="0"/>
          <w:sz w:val="30"/>
          <w:szCs w:val="30"/>
          <w:lang w:val="en-US" w:eastAsia="zh-CN"/>
        </w:rPr>
      </w:pPr>
      <w:r>
        <w:rPr>
          <w:rFonts w:hint="eastAsia" w:ascii="宋体" w:hAnsi="宋体" w:eastAsia="宋体" w:cs="宋体"/>
          <w:b/>
          <w:bCs/>
          <w:color w:val="000000"/>
          <w:spacing w:val="2"/>
          <w:kern w:val="0"/>
          <w:sz w:val="30"/>
          <w:szCs w:val="30"/>
          <w:lang w:val="en-US" w:eastAsia="zh-CN"/>
        </w:rPr>
        <w:t>填报注意事项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outlineLvl w:val="9"/>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1、年度高新技术企业发展情况报表（高企发展情况年报）与火炬统计年报（企业年报）</w:t>
      </w:r>
      <w:r>
        <w:rPr>
          <w:rFonts w:hint="eastAsia" w:ascii="宋体" w:hAnsi="宋体" w:eastAsia="宋体" w:cs="宋体"/>
          <w:b/>
          <w:bCs/>
          <w:color w:val="000000"/>
          <w:spacing w:val="2"/>
          <w:kern w:val="0"/>
          <w:sz w:val="30"/>
          <w:szCs w:val="30"/>
          <w:lang w:val="en-US" w:eastAsia="zh-CN"/>
        </w:rPr>
        <w:t>不是同一份报表</w:t>
      </w:r>
      <w:r>
        <w:rPr>
          <w:rFonts w:hint="eastAsia" w:ascii="宋体" w:hAnsi="宋体" w:eastAsia="宋体" w:cs="宋体"/>
          <w:color w:val="000000"/>
          <w:spacing w:val="2"/>
          <w:kern w:val="0"/>
          <w:sz w:val="30"/>
          <w:szCs w:val="30"/>
          <w:lang w:val="en-US" w:eastAsia="zh-CN"/>
        </w:rPr>
        <w:t>，不要混淆！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outlineLvl w:val="9"/>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2、企业在填报前请仔细阅读相关填报说明、指标解释，注意看清填报数值单位、格式要求等。上报要做到及时、准确、真实、完整。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outlineLvl w:val="9"/>
        <w:rPr>
          <w:rFonts w:hint="eastAsia" w:ascii="宋体" w:hAnsi="宋体" w:eastAsia="宋体" w:cs="宋体"/>
          <w:color w:val="000000"/>
          <w:spacing w:val="2"/>
          <w:kern w:val="0"/>
          <w:sz w:val="30"/>
          <w:szCs w:val="30"/>
          <w:lang w:val="en-US" w:eastAsia="zh-CN"/>
        </w:rPr>
      </w:pPr>
      <w:r>
        <w:rPr>
          <w:rFonts w:hint="eastAsia" w:ascii="宋体" w:hAnsi="宋体" w:eastAsia="宋体" w:cs="宋体"/>
          <w:b w:val="0"/>
          <w:bCs w:val="0"/>
          <w:color w:val="auto"/>
          <w:spacing w:val="2"/>
          <w:kern w:val="0"/>
          <w:sz w:val="30"/>
          <w:szCs w:val="30"/>
          <w:lang w:val="en-US" w:eastAsia="zh-CN"/>
        </w:rPr>
        <w:t>3、企业在填报时</w:t>
      </w:r>
      <w:r>
        <w:rPr>
          <w:rFonts w:hint="eastAsia" w:ascii="宋体" w:hAnsi="宋体" w:eastAsia="宋体" w:cs="宋体"/>
          <w:b w:val="0"/>
          <w:bCs w:val="0"/>
          <w:color w:val="000000"/>
          <w:spacing w:val="2"/>
          <w:kern w:val="0"/>
          <w:sz w:val="30"/>
          <w:szCs w:val="30"/>
          <w:lang w:val="en-US" w:eastAsia="zh-CN"/>
        </w:rPr>
        <w:t>应注意相关指标数据</w:t>
      </w:r>
      <w:r>
        <w:rPr>
          <w:rFonts w:hint="eastAsia" w:ascii="宋体" w:hAnsi="宋体" w:eastAsia="宋体" w:cs="宋体"/>
          <w:b w:val="0"/>
          <w:bCs w:val="0"/>
          <w:color w:val="000000"/>
          <w:spacing w:val="2"/>
          <w:kern w:val="0"/>
          <w:sz w:val="30"/>
          <w:szCs w:val="30"/>
          <w:highlight w:val="none"/>
          <w:lang w:val="en-US" w:eastAsia="zh-CN"/>
        </w:rPr>
        <w:t>是否符</w:t>
      </w:r>
      <w:r>
        <w:rPr>
          <w:rFonts w:hint="eastAsia" w:ascii="宋体" w:hAnsi="宋体" w:eastAsia="宋体" w:cs="宋体"/>
          <w:b w:val="0"/>
          <w:bCs w:val="0"/>
          <w:color w:val="000000"/>
          <w:spacing w:val="2"/>
          <w:kern w:val="0"/>
          <w:sz w:val="30"/>
          <w:szCs w:val="30"/>
          <w:lang w:val="en-US" w:eastAsia="zh-CN"/>
        </w:rPr>
        <w:t>合高企的基本门槛</w:t>
      </w:r>
      <w:r>
        <w:rPr>
          <w:rFonts w:hint="eastAsia" w:ascii="宋体" w:hAnsi="宋体" w:eastAsia="宋体" w:cs="宋体"/>
          <w:color w:val="000000"/>
          <w:spacing w:val="2"/>
          <w:kern w:val="0"/>
          <w:sz w:val="30"/>
          <w:szCs w:val="30"/>
          <w:lang w:val="en-US" w:eastAsia="zh-CN"/>
        </w:rPr>
        <w:t>，如科技人员占比、高新产品收入占比、研发费</w:t>
      </w:r>
      <w:r>
        <w:rPr>
          <w:rFonts w:hint="eastAsia" w:ascii="宋体" w:hAnsi="宋体" w:eastAsia="宋体" w:cs="宋体"/>
          <w:color w:val="000000"/>
          <w:spacing w:val="2"/>
          <w:kern w:val="0"/>
          <w:sz w:val="30"/>
          <w:szCs w:val="30"/>
          <w:highlight w:val="none"/>
          <w:lang w:val="en-US" w:eastAsia="zh-CN"/>
        </w:rPr>
        <w:t>用占比等</w:t>
      </w:r>
      <w:r>
        <w:rPr>
          <w:rFonts w:hint="eastAsia" w:ascii="宋体" w:hAnsi="宋体" w:eastAsia="宋体" w:cs="宋体"/>
          <w:color w:val="000000"/>
          <w:spacing w:val="2"/>
          <w:kern w:val="0"/>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outlineLvl w:val="9"/>
        <w:rPr>
          <w:rFonts w:hint="eastAsia" w:ascii="宋体" w:hAnsi="宋体" w:eastAsia="宋体" w:cs="宋体"/>
          <w:b w:val="0"/>
          <w:bCs w:val="0"/>
          <w:color w:val="auto"/>
          <w:spacing w:val="2"/>
          <w:kern w:val="0"/>
          <w:sz w:val="30"/>
          <w:szCs w:val="30"/>
        </w:rPr>
      </w:pPr>
      <w:r>
        <w:rPr>
          <w:rFonts w:hint="eastAsia" w:ascii="宋体" w:hAnsi="宋体" w:eastAsia="宋体" w:cs="宋体"/>
          <w:b w:val="0"/>
          <w:bCs w:val="0"/>
          <w:color w:val="auto"/>
          <w:spacing w:val="2"/>
          <w:kern w:val="0"/>
          <w:sz w:val="30"/>
          <w:szCs w:val="30"/>
          <w:lang w:val="en-US" w:eastAsia="zh-CN"/>
        </w:rPr>
        <w:t>4、报表提交完成后，</w:t>
      </w:r>
      <w:r>
        <w:rPr>
          <w:rFonts w:hint="eastAsia" w:ascii="宋体" w:hAnsi="宋体" w:eastAsia="宋体" w:cs="宋体"/>
          <w:b w:val="0"/>
          <w:bCs w:val="0"/>
          <w:color w:val="auto"/>
          <w:spacing w:val="2"/>
          <w:kern w:val="0"/>
          <w:sz w:val="30"/>
          <w:szCs w:val="30"/>
        </w:rPr>
        <w:t>需等待管理员审核，审核时间3-5个工作日。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outlineLvl w:val="9"/>
        <w:rPr>
          <w:rFonts w:hint="eastAsia" w:ascii="宋体" w:hAnsi="宋体" w:eastAsia="宋体" w:cs="宋体"/>
          <w:b w:val="0"/>
          <w:bCs w:val="0"/>
          <w:color w:val="000000"/>
          <w:spacing w:val="2"/>
          <w:kern w:val="0"/>
          <w:sz w:val="30"/>
          <w:szCs w:val="30"/>
          <w:lang w:eastAsia="zh-CN"/>
        </w:rPr>
      </w:pPr>
      <w:r>
        <w:rPr>
          <w:rFonts w:hint="eastAsia" w:ascii="宋体" w:hAnsi="宋体" w:eastAsia="宋体" w:cs="宋体"/>
          <w:b w:val="0"/>
          <w:bCs w:val="0"/>
          <w:color w:val="000000"/>
          <w:spacing w:val="2"/>
          <w:kern w:val="0"/>
          <w:sz w:val="30"/>
          <w:szCs w:val="30"/>
          <w:lang w:val="en-US" w:eastAsia="zh-CN"/>
        </w:rPr>
        <w:t>5、在研发费中，</w:t>
      </w:r>
      <w:r>
        <w:rPr>
          <w:rFonts w:hint="eastAsia" w:ascii="宋体" w:hAnsi="宋体" w:eastAsia="宋体" w:cs="宋体"/>
          <w:b/>
          <w:bCs/>
          <w:color w:val="000000"/>
          <w:spacing w:val="2"/>
          <w:kern w:val="0"/>
          <w:sz w:val="30"/>
          <w:szCs w:val="30"/>
          <w:lang w:val="en-US" w:eastAsia="zh-CN"/>
        </w:rPr>
        <w:t>企业一般不会发生</w:t>
      </w:r>
      <w:r>
        <w:rPr>
          <w:rFonts w:hint="eastAsia" w:ascii="宋体" w:hAnsi="宋体" w:eastAsia="宋体" w:cs="宋体"/>
          <w:b/>
          <w:bCs/>
          <w:color w:val="000000"/>
          <w:spacing w:val="2"/>
          <w:kern w:val="0"/>
          <w:sz w:val="30"/>
          <w:szCs w:val="30"/>
        </w:rPr>
        <w:t>“基础研究投入”费用</w:t>
      </w:r>
      <w:r>
        <w:rPr>
          <w:rFonts w:hint="eastAsia" w:ascii="宋体" w:hAnsi="宋体" w:eastAsia="宋体" w:cs="宋体"/>
          <w:b/>
          <w:bCs/>
          <w:color w:val="000000"/>
          <w:spacing w:val="2"/>
          <w:kern w:val="0"/>
          <w:sz w:val="30"/>
          <w:szCs w:val="30"/>
          <w:lang w:eastAsia="zh-CN"/>
        </w:rPr>
        <w:t>，</w:t>
      </w:r>
      <w:r>
        <w:rPr>
          <w:rFonts w:hint="eastAsia" w:ascii="宋体" w:hAnsi="宋体" w:eastAsia="宋体" w:cs="宋体"/>
          <w:b/>
          <w:bCs/>
          <w:color w:val="000000"/>
          <w:spacing w:val="2"/>
          <w:kern w:val="0"/>
          <w:sz w:val="30"/>
          <w:szCs w:val="30"/>
          <w:lang w:val="en-US" w:eastAsia="zh-CN"/>
        </w:rPr>
        <w:t>该指标</w:t>
      </w:r>
      <w:r>
        <w:rPr>
          <w:rFonts w:hint="eastAsia" w:ascii="宋体" w:hAnsi="宋体" w:eastAsia="宋体" w:cs="宋体"/>
          <w:b/>
          <w:bCs/>
          <w:color w:val="000000"/>
          <w:spacing w:val="2"/>
          <w:kern w:val="0"/>
          <w:sz w:val="30"/>
          <w:szCs w:val="30"/>
        </w:rPr>
        <w:t>如果不是填</w:t>
      </w:r>
      <w:r>
        <w:rPr>
          <w:rFonts w:hint="eastAsia" w:ascii="宋体" w:hAnsi="宋体" w:eastAsia="宋体" w:cs="宋体"/>
          <w:b/>
          <w:bCs/>
          <w:color w:val="000000"/>
          <w:spacing w:val="2"/>
          <w:kern w:val="0"/>
          <w:sz w:val="30"/>
          <w:szCs w:val="30"/>
          <w:lang w:eastAsia="zh-CN"/>
        </w:rPr>
        <w:t>“</w:t>
      </w:r>
      <w:r>
        <w:rPr>
          <w:rFonts w:hint="eastAsia" w:ascii="宋体" w:hAnsi="宋体" w:eastAsia="宋体" w:cs="宋体"/>
          <w:b/>
          <w:bCs/>
          <w:color w:val="000000"/>
          <w:spacing w:val="2"/>
          <w:kern w:val="0"/>
          <w:sz w:val="30"/>
          <w:szCs w:val="30"/>
          <w:lang w:val="en-US" w:eastAsia="zh-CN"/>
        </w:rPr>
        <w:t>0</w:t>
      </w:r>
      <w:r>
        <w:rPr>
          <w:rFonts w:hint="eastAsia" w:ascii="宋体" w:hAnsi="宋体" w:eastAsia="宋体" w:cs="宋体"/>
          <w:b/>
          <w:bCs/>
          <w:color w:val="000000"/>
          <w:spacing w:val="2"/>
          <w:kern w:val="0"/>
          <w:sz w:val="30"/>
          <w:szCs w:val="30"/>
          <w:lang w:eastAsia="zh-CN"/>
        </w:rPr>
        <w:t>”</w:t>
      </w:r>
      <w:r>
        <w:rPr>
          <w:rFonts w:hint="eastAsia" w:ascii="宋体" w:hAnsi="宋体" w:eastAsia="宋体" w:cs="宋体"/>
          <w:b/>
          <w:bCs/>
          <w:color w:val="000000"/>
          <w:spacing w:val="2"/>
          <w:kern w:val="0"/>
          <w:sz w:val="30"/>
          <w:szCs w:val="30"/>
        </w:rPr>
        <w:t>，</w:t>
      </w:r>
      <w:r>
        <w:rPr>
          <w:rFonts w:hint="eastAsia" w:ascii="宋体" w:hAnsi="宋体" w:eastAsia="宋体" w:cs="宋体"/>
          <w:b/>
          <w:bCs/>
          <w:color w:val="000000"/>
          <w:spacing w:val="2"/>
          <w:kern w:val="0"/>
          <w:sz w:val="30"/>
          <w:szCs w:val="30"/>
          <w:lang w:val="en-US" w:eastAsia="zh-CN"/>
        </w:rPr>
        <w:t>可能</w:t>
      </w:r>
      <w:r>
        <w:rPr>
          <w:rFonts w:hint="eastAsia" w:ascii="宋体" w:hAnsi="宋体" w:eastAsia="宋体" w:cs="宋体"/>
          <w:b/>
          <w:bCs/>
          <w:color w:val="000000"/>
          <w:spacing w:val="2"/>
          <w:kern w:val="0"/>
          <w:sz w:val="30"/>
          <w:szCs w:val="30"/>
        </w:rPr>
        <w:t>会被退回</w:t>
      </w:r>
      <w:r>
        <w:rPr>
          <w:rFonts w:hint="eastAsia" w:ascii="宋体" w:hAnsi="宋体" w:eastAsia="宋体" w:cs="宋体"/>
          <w:b w:val="0"/>
          <w:bCs w:val="0"/>
          <w:color w:val="000000"/>
          <w:spacing w:val="2"/>
          <w:kern w:val="0"/>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outlineLvl w:val="9"/>
        <w:rPr>
          <w:rFonts w:hint="eastAsia" w:ascii="宋体" w:hAnsi="宋体" w:eastAsia="宋体" w:cs="宋体"/>
          <w:color w:val="000000"/>
          <w:spacing w:val="2"/>
          <w:kern w:val="0"/>
          <w:sz w:val="30"/>
          <w:szCs w:val="30"/>
          <w:lang w:val="en-US" w:eastAsia="zh-CN"/>
        </w:rPr>
      </w:pPr>
      <w:r>
        <w:rPr>
          <w:rFonts w:hint="eastAsia" w:ascii="宋体" w:hAnsi="宋体" w:eastAsia="宋体" w:cs="宋体"/>
          <w:b w:val="0"/>
          <w:bCs w:val="0"/>
          <w:color w:val="000000"/>
          <w:spacing w:val="2"/>
          <w:kern w:val="0"/>
          <w:sz w:val="30"/>
          <w:szCs w:val="30"/>
          <w:lang w:val="en-US" w:eastAsia="zh-CN"/>
        </w:rPr>
        <w:t>6、</w:t>
      </w:r>
      <w:r>
        <w:rPr>
          <w:rFonts w:hint="eastAsia" w:ascii="宋体" w:hAnsi="宋体" w:eastAsia="宋体" w:cs="宋体"/>
          <w:color w:val="000000"/>
          <w:spacing w:val="2"/>
          <w:kern w:val="0"/>
          <w:sz w:val="30"/>
          <w:szCs w:val="30"/>
          <w:lang w:val="en-US" w:eastAsia="zh-CN"/>
        </w:rPr>
        <w:t>从往年填报情况来看，临近报送截止时间前系统往往会拥堵，请企业尽早安排填报。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608" w:firstLineChars="200"/>
        <w:jc w:val="both"/>
        <w:textAlignment w:val="auto"/>
        <w:outlineLvl w:val="9"/>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7、目前高企发展情况报表直接通过火炬统计调查系统完成填报及修改工作，火炬统计企业年报与高企发展情况报表的数据进行共享，实现高企“一次登录、一次填报”。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08" w:firstLineChars="200"/>
        <w:jc w:val="both"/>
        <w:textAlignment w:val="auto"/>
        <w:outlineLvl w:val="9"/>
        <w:rPr>
          <w:rFonts w:hint="eastAsia" w:ascii="宋体" w:hAnsi="宋体" w:eastAsia="宋体" w:cs="宋体"/>
          <w:color w:val="000000"/>
          <w:spacing w:val="2"/>
          <w:kern w:val="0"/>
          <w:sz w:val="30"/>
          <w:szCs w:val="30"/>
          <w:lang w:val="en-US" w:eastAsia="zh-CN"/>
        </w:rPr>
      </w:pPr>
      <w:r>
        <w:rPr>
          <w:rFonts w:hint="eastAsia" w:ascii="宋体" w:hAnsi="宋体" w:eastAsia="宋体" w:cs="宋体"/>
          <w:color w:val="000000"/>
          <w:spacing w:val="2"/>
          <w:kern w:val="0"/>
          <w:sz w:val="30"/>
          <w:szCs w:val="30"/>
          <w:lang w:val="en-US" w:eastAsia="zh-CN"/>
        </w:rPr>
        <w:t>8、填报程序或要求如有变动，将另行通知。</w:t>
      </w:r>
    </w:p>
    <w:p>
      <w:pPr>
        <w:pStyle w:val="2"/>
        <w:rPr>
          <w:rFonts w:hint="eastAsia" w:ascii="宋体" w:hAnsi="宋体" w:eastAsia="宋体" w:cs="宋体"/>
          <w:color w:val="000000"/>
          <w:spacing w:val="2"/>
          <w:kern w:val="0"/>
          <w:sz w:val="30"/>
          <w:szCs w:val="30"/>
          <w:lang w:val="en-US" w:eastAsia="zh-CN"/>
        </w:rPr>
      </w:pPr>
    </w:p>
    <w:p>
      <w:pPr>
        <w:pStyle w:val="2"/>
        <w:rPr>
          <w:rFonts w:hint="eastAsia" w:ascii="宋体" w:hAnsi="宋体" w:eastAsia="宋体" w:cs="宋体"/>
          <w:color w:val="000000"/>
          <w:spacing w:val="2"/>
          <w:kern w:val="0"/>
          <w:sz w:val="30"/>
          <w:szCs w:val="30"/>
          <w:lang w:val="en-US" w:eastAsia="zh-CN"/>
        </w:rPr>
        <w:sectPr>
          <w:headerReference r:id="rId7" w:type="default"/>
          <w:footerReference r:id="rId8" w:type="default"/>
          <w:pgSz w:w="11906" w:h="16838"/>
          <w:pgMar w:top="1417" w:right="1247" w:bottom="1304" w:left="1247" w:header="851" w:footer="737"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958"/>
        <w:jc w:val="left"/>
        <w:textAlignment w:val="auto"/>
        <w:rPr>
          <w:rFonts w:ascii="Times New Roman" w:hAnsi="Times New Roman"/>
          <w:bCs/>
          <w:color w:val="auto"/>
          <w:sz w:val="32"/>
          <w:szCs w:val="24"/>
          <w:highlight w:val="none"/>
        </w:rPr>
      </w:pPr>
      <w:bookmarkStart w:id="6" w:name="_Toc121734439"/>
      <w:bookmarkStart w:id="7" w:name="_Toc15143"/>
      <w:bookmarkStart w:id="8" w:name="_Toc10017"/>
      <w:bookmarkStart w:id="9" w:name="_Toc18739"/>
      <w:bookmarkStart w:id="10" w:name="_Toc335397765"/>
      <w:bookmarkStart w:id="11" w:name="_Toc530752895"/>
      <w:bookmarkStart w:id="12" w:name="_Hlk122288579"/>
      <w:bookmarkStart w:id="13" w:name="_Toc286672148"/>
      <w:bookmarkStart w:id="14" w:name="_Toc286669449"/>
      <w:bookmarkStart w:id="15" w:name="_Toc337717041"/>
      <w:bookmarkStart w:id="16" w:name="_Toc395286772"/>
      <w:bookmarkStart w:id="17" w:name="_Toc27695"/>
      <w:bookmarkStart w:id="18" w:name="_Toc4060"/>
      <w:bookmarkStart w:id="19" w:name="_Toc26548365"/>
      <w:bookmarkStart w:id="20" w:name="_Toc211484057"/>
      <w:bookmarkStart w:id="21" w:name="_Toc434256179"/>
      <w:bookmarkStart w:id="22" w:name="_Toc286669457"/>
      <w:bookmarkStart w:id="23" w:name="_Toc524639635"/>
      <w:bookmarkStart w:id="24" w:name="_Toc6982"/>
      <w:bookmarkStart w:id="25" w:name="_Toc286672141"/>
      <w:bookmarkStart w:id="26" w:name="_Toc24975183"/>
      <w:bookmarkStart w:id="27" w:name="_Toc29618"/>
      <w:bookmarkStart w:id="28" w:name="_Toc532551487"/>
      <w:bookmarkStart w:id="29" w:name="_Toc24797"/>
      <w:bookmarkStart w:id="30" w:name="_Toc30243"/>
      <w:bookmarkStart w:id="31" w:name="_Toc26909"/>
      <w:bookmarkStart w:id="32" w:name="_Toc31279"/>
      <w:bookmarkStart w:id="33" w:name="_Toc27283"/>
      <w:r>
        <w:rPr>
          <w:rFonts w:hint="eastAsia" w:ascii="宋体" w:hAnsi="宋体" w:eastAsia="宋体" w:cs="宋体"/>
          <w:b w:val="0"/>
          <w:bCs w:val="0"/>
          <w:sz w:val="36"/>
          <w:szCs w:val="36"/>
          <w:lang w:val="en-US" w:eastAsia="zh-CN"/>
        </w:rPr>
        <w:t>附件4</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国家高新区企业及区外高新技术企业统计年报表</w:t>
      </w:r>
      <w:bookmarkEnd w:id="6"/>
      <w:r>
        <w:rPr>
          <w:rFonts w:hint="eastAsia" w:ascii="宋体" w:hAnsi="宋体" w:eastAsia="宋体" w:cs="宋体"/>
          <w:b/>
          <w:sz w:val="36"/>
          <w:szCs w:val="36"/>
          <w:lang w:val="en-US" w:eastAsia="zh-CN"/>
        </w:rPr>
        <w:t>（样表）</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Pr>
        <w:pStyle w:val="3"/>
        <w:rPr>
          <w:rFonts w:ascii="Times New Roman" w:hAnsi="Times New Roman"/>
          <w:bCs w:val="0"/>
          <w:color w:val="auto"/>
          <w:sz w:val="28"/>
          <w:szCs w:val="28"/>
          <w:highlight w:val="none"/>
        </w:rPr>
      </w:pPr>
      <w:bookmarkStart w:id="34" w:name="_Toc121734440"/>
      <w:r>
        <w:rPr>
          <w:rFonts w:ascii="Times New Roman" w:hAnsi="Times New Roman"/>
          <w:bCs w:val="0"/>
          <w:color w:val="auto"/>
          <w:sz w:val="28"/>
          <w:szCs w:val="28"/>
          <w:highlight w:val="none"/>
        </w:rPr>
        <w:t>企业概况</w:t>
      </w:r>
      <w:bookmarkEnd w:id="34"/>
    </w:p>
    <w:tbl>
      <w:tblPr>
        <w:tblStyle w:val="9"/>
        <w:tblW w:w="9821"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881"/>
        <w:gridCol w:w="2610"/>
        <w:gridCol w:w="3315"/>
        <w:gridCol w:w="1050"/>
        <w:gridCol w:w="1965"/>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6806" w:type="dxa"/>
            <w:gridSpan w:val="3"/>
            <w:tcBorders>
              <w:top w:val="nil"/>
              <w:left w:val="nil"/>
              <w:bottom w:val="nil"/>
              <w:right w:val="nil"/>
            </w:tcBorders>
            <w:noWrap w:val="0"/>
            <w:vAlign w:val="center"/>
          </w:tcPr>
          <w:p>
            <w:pPr>
              <w:snapToGrid w:val="0"/>
              <w:spacing w:line="220" w:lineRule="exact"/>
              <w:jc w:val="left"/>
              <w:rPr>
                <w:rFonts w:ascii="Times New Roman" w:hAnsi="Times New Roman"/>
                <w:bCs/>
                <w:color w:val="auto"/>
                <w:sz w:val="18"/>
                <w:szCs w:val="18"/>
                <w:highlight w:val="none"/>
              </w:rPr>
            </w:pPr>
          </w:p>
        </w:tc>
        <w:tc>
          <w:tcPr>
            <w:tcW w:w="1050" w:type="dxa"/>
            <w:tcBorders>
              <w:top w:val="nil"/>
              <w:left w:val="nil"/>
              <w:bottom w:val="nil"/>
              <w:right w:val="nil"/>
            </w:tcBorders>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表号：</w:t>
            </w:r>
          </w:p>
        </w:tc>
        <w:tc>
          <w:tcPr>
            <w:tcW w:w="1965" w:type="dxa"/>
            <w:tcBorders>
              <w:top w:val="nil"/>
              <w:left w:val="nil"/>
              <w:bottom w:val="nil"/>
              <w:right w:val="nil"/>
            </w:tcBorders>
            <w:noWrap w:val="0"/>
            <w:vAlign w:val="center"/>
          </w:tcPr>
          <w:p>
            <w:pPr>
              <w:spacing w:line="240" w:lineRule="exact"/>
              <w:jc w:val="right"/>
              <w:rPr>
                <w:rFonts w:ascii="Times New Roman" w:hAnsi="Times New Roman"/>
                <w:bCs/>
                <w:color w:val="auto"/>
                <w:sz w:val="18"/>
                <w:szCs w:val="18"/>
                <w:highlight w:val="none"/>
              </w:rPr>
            </w:pPr>
            <w:r>
              <w:rPr>
                <w:rFonts w:ascii="Times New Roman" w:hAnsi="Times New Roman"/>
                <w:bCs/>
                <w:color w:val="auto"/>
                <w:sz w:val="18"/>
                <w:szCs w:val="18"/>
                <w:highlight w:val="none"/>
              </w:rPr>
              <w:t>ＧＱ－００１</w:t>
            </w:r>
            <w:r>
              <w:rPr>
                <w:rFonts w:ascii="Times New Roman" w:hAnsi="Times New Roman"/>
                <w:bCs/>
                <w:color w:val="auto"/>
                <w:sz w:val="18"/>
                <w:highlight w:val="none"/>
              </w:rPr>
              <w:t>表</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6806" w:type="dxa"/>
            <w:gridSpan w:val="3"/>
            <w:tcBorders>
              <w:top w:val="nil"/>
              <w:left w:val="nil"/>
              <w:bottom w:val="nil"/>
              <w:right w:val="nil"/>
            </w:tcBorders>
            <w:noWrap w:val="0"/>
            <w:vAlign w:val="center"/>
          </w:tcPr>
          <w:p>
            <w:pPr>
              <w:snapToGrid w:val="0"/>
              <w:spacing w:line="220" w:lineRule="exact"/>
              <w:jc w:val="left"/>
              <w:rPr>
                <w:rFonts w:ascii="Times New Roman" w:hAnsi="Times New Roman"/>
                <w:bCs/>
                <w:color w:val="auto"/>
                <w:sz w:val="18"/>
                <w:szCs w:val="18"/>
                <w:highlight w:val="none"/>
              </w:rPr>
            </w:pPr>
          </w:p>
        </w:tc>
        <w:tc>
          <w:tcPr>
            <w:tcW w:w="1050" w:type="dxa"/>
            <w:tcBorders>
              <w:top w:val="nil"/>
              <w:left w:val="nil"/>
              <w:bottom w:val="nil"/>
              <w:right w:val="nil"/>
            </w:tcBorders>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制定机关：</w:t>
            </w:r>
          </w:p>
        </w:tc>
        <w:tc>
          <w:tcPr>
            <w:tcW w:w="1965" w:type="dxa"/>
            <w:tcBorders>
              <w:top w:val="nil"/>
              <w:left w:val="nil"/>
              <w:bottom w:val="nil"/>
              <w:right w:val="nil"/>
            </w:tcBorders>
            <w:noWrap w:val="0"/>
            <w:vAlign w:val="center"/>
          </w:tcPr>
          <w:p>
            <w:pPr>
              <w:spacing w:line="240" w:lineRule="exact"/>
              <w:jc w:val="right"/>
              <w:rPr>
                <w:rFonts w:ascii="Times New Roman" w:hAnsi="Times New Roman"/>
                <w:bCs/>
                <w:color w:val="auto"/>
                <w:sz w:val="18"/>
                <w:szCs w:val="18"/>
                <w:highlight w:val="none"/>
              </w:rPr>
            </w:pPr>
            <w:r>
              <w:rPr>
                <w:rFonts w:hint="eastAsia" w:ascii="Times New Roman" w:hAnsi="Times New Roman"/>
                <w:bCs/>
                <w:color w:val="auto"/>
                <w:sz w:val="18"/>
                <w:highlight w:val="none"/>
                <w:lang w:val="en-US" w:eastAsia="zh-CN"/>
              </w:rPr>
              <w:t>工业和信息化</w:t>
            </w:r>
            <w:r>
              <w:rPr>
                <w:rFonts w:ascii="Times New Roman" w:hAnsi="Times New Roman"/>
                <w:bCs/>
                <w:color w:val="auto"/>
                <w:sz w:val="18"/>
                <w:highlight w:val="none"/>
              </w:rPr>
              <w:t>部</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6806" w:type="dxa"/>
            <w:gridSpan w:val="3"/>
            <w:tcBorders>
              <w:top w:val="nil"/>
              <w:left w:val="nil"/>
              <w:bottom w:val="nil"/>
              <w:right w:val="nil"/>
            </w:tcBorders>
            <w:noWrap w:val="0"/>
            <w:vAlign w:val="center"/>
          </w:tcPr>
          <w:p>
            <w:pPr>
              <w:snapToGrid w:val="0"/>
              <w:spacing w:line="220" w:lineRule="exact"/>
              <w:jc w:val="left"/>
              <w:rPr>
                <w:rFonts w:ascii="宋体" w:hAnsi="宋体"/>
                <w:bCs/>
                <w:color w:val="auto"/>
                <w:sz w:val="18"/>
                <w:szCs w:val="18"/>
                <w:highlight w:val="none"/>
              </w:rPr>
            </w:pPr>
          </w:p>
        </w:tc>
        <w:tc>
          <w:tcPr>
            <w:tcW w:w="1050" w:type="dxa"/>
            <w:tcBorders>
              <w:top w:val="nil"/>
              <w:left w:val="nil"/>
              <w:bottom w:val="nil"/>
              <w:right w:val="nil"/>
            </w:tcBorders>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批准机关：</w:t>
            </w:r>
          </w:p>
        </w:tc>
        <w:tc>
          <w:tcPr>
            <w:tcW w:w="1965" w:type="dxa"/>
            <w:tcBorders>
              <w:top w:val="nil"/>
              <w:left w:val="nil"/>
              <w:bottom w:val="nil"/>
              <w:right w:val="nil"/>
            </w:tcBorders>
            <w:noWrap w:val="0"/>
            <w:vAlign w:val="center"/>
          </w:tcPr>
          <w:p>
            <w:pPr>
              <w:spacing w:line="240" w:lineRule="exact"/>
              <w:jc w:val="right"/>
              <w:rPr>
                <w:rFonts w:ascii="Times New Roman" w:hAnsi="Times New Roman"/>
                <w:bCs/>
                <w:color w:val="auto"/>
                <w:sz w:val="18"/>
                <w:szCs w:val="18"/>
                <w:highlight w:val="none"/>
              </w:rPr>
            </w:pPr>
            <w:r>
              <w:rPr>
                <w:rFonts w:ascii="Times New Roman" w:hAnsi="Times New Roman"/>
                <w:bCs/>
                <w:color w:val="auto"/>
                <w:sz w:val="18"/>
                <w:highlight w:val="none"/>
              </w:rPr>
              <w:t>国家统计局</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6806" w:type="dxa"/>
            <w:gridSpan w:val="3"/>
            <w:tcBorders>
              <w:top w:val="nil"/>
              <w:left w:val="nil"/>
              <w:bottom w:val="nil"/>
              <w:right w:val="nil"/>
            </w:tcBorders>
            <w:noWrap w:val="0"/>
            <w:vAlign w:val="center"/>
          </w:tcPr>
          <w:p>
            <w:pPr>
              <w:snapToGrid w:val="0"/>
              <w:spacing w:line="220" w:lineRule="exact"/>
              <w:jc w:val="left"/>
              <w:rPr>
                <w:rFonts w:ascii="宋体" w:hAnsi="宋体"/>
                <w:bCs/>
                <w:color w:val="auto"/>
                <w:sz w:val="18"/>
                <w:szCs w:val="18"/>
                <w:highlight w:val="none"/>
              </w:rPr>
            </w:pPr>
            <w:r>
              <w:rPr>
                <w:rFonts w:ascii="宋体" w:hAnsi="宋体"/>
                <w:bCs/>
                <w:color w:val="auto"/>
                <w:sz w:val="18"/>
                <w:szCs w:val="18"/>
                <w:highlight w:val="none"/>
              </w:rPr>
              <w:t>统一社会信用代码□□□□□□□□□□□□□□□□□□</w:t>
            </w:r>
          </w:p>
        </w:tc>
        <w:tc>
          <w:tcPr>
            <w:tcW w:w="1050" w:type="dxa"/>
            <w:tcBorders>
              <w:top w:val="nil"/>
              <w:left w:val="nil"/>
              <w:bottom w:val="nil"/>
              <w:right w:val="nil"/>
            </w:tcBorders>
            <w:noWrap w:val="0"/>
            <w:vAlign w:val="center"/>
          </w:tcPr>
          <w:p>
            <w:pPr>
              <w:pStyle w:val="13"/>
              <w:tabs>
                <w:tab w:val="left" w:pos="730"/>
              </w:tabs>
              <w:autoSpaceDE/>
              <w:autoSpaceDN/>
              <w:adjustRightInd/>
              <w:spacing w:before="14" w:line="240" w:lineRule="exact"/>
              <w:jc w:val="both"/>
              <w:rPr>
                <w:rFonts w:ascii="Times New Roman" w:hAnsi="Times New Roman"/>
                <w:bCs/>
                <w:color w:val="auto"/>
                <w:sz w:val="18"/>
                <w:szCs w:val="18"/>
                <w:highlight w:val="none"/>
              </w:rPr>
            </w:pPr>
            <w:r>
              <w:rPr>
                <w:rFonts w:ascii="Times New Roman" w:hAnsi="Times New Roman"/>
                <w:bCs/>
                <w:color w:val="auto"/>
                <w:sz w:val="18"/>
                <w:szCs w:val="18"/>
                <w:highlight w:val="none"/>
              </w:rPr>
              <w:t>批准文号：</w:t>
            </w:r>
          </w:p>
        </w:tc>
        <w:tc>
          <w:tcPr>
            <w:tcW w:w="1965" w:type="dxa"/>
            <w:tcBorders>
              <w:top w:val="nil"/>
              <w:left w:val="nil"/>
              <w:bottom w:val="nil"/>
              <w:right w:val="nil"/>
            </w:tcBorders>
            <w:noWrap w:val="0"/>
            <w:vAlign w:val="center"/>
          </w:tcPr>
          <w:p>
            <w:pPr>
              <w:spacing w:line="240" w:lineRule="exact"/>
              <w:jc w:val="right"/>
              <w:rPr>
                <w:rFonts w:ascii="Times New Roman" w:hAnsi="Times New Roman"/>
                <w:bCs/>
                <w:color w:val="auto"/>
                <w:sz w:val="18"/>
                <w:szCs w:val="18"/>
                <w:highlight w:val="none"/>
              </w:rPr>
            </w:pPr>
            <w:r>
              <w:rPr>
                <w:rFonts w:ascii="Times New Roman" w:hAnsi="Times New Roman"/>
                <w:bCs/>
                <w:color w:val="auto"/>
                <w:sz w:val="18"/>
                <w:highlight w:val="none"/>
              </w:rPr>
              <w:t>国统制〔202</w:t>
            </w:r>
            <w:r>
              <w:rPr>
                <w:rFonts w:hint="eastAsia" w:ascii="Times New Roman" w:hAnsi="Times New Roman"/>
                <w:bCs/>
                <w:color w:val="auto"/>
                <w:sz w:val="18"/>
                <w:highlight w:val="none"/>
                <w:lang w:val="en-US" w:eastAsia="zh-CN"/>
              </w:rPr>
              <w:t>4</w:t>
            </w:r>
            <w:r>
              <w:rPr>
                <w:rFonts w:ascii="Times New Roman" w:hAnsi="Times New Roman"/>
                <w:bCs/>
                <w:color w:val="auto"/>
                <w:sz w:val="18"/>
                <w:highlight w:val="none"/>
              </w:rPr>
              <w:t>〕</w:t>
            </w:r>
            <w:r>
              <w:rPr>
                <w:rFonts w:hint="eastAsia" w:ascii="Times New Roman" w:hAnsi="Times New Roman"/>
                <w:bCs/>
                <w:color w:val="auto"/>
                <w:sz w:val="18"/>
                <w:highlight w:val="none"/>
                <w:lang w:val="en-US" w:eastAsia="zh-CN"/>
              </w:rPr>
              <w:t>187</w:t>
            </w:r>
            <w:r>
              <w:rPr>
                <w:rFonts w:ascii="Times New Roman" w:hAnsi="Times New Roman"/>
                <w:bCs/>
                <w:color w:val="auto"/>
                <w:sz w:val="18"/>
                <w:highlight w:val="none"/>
              </w:rPr>
              <w:t>号</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3491" w:type="dxa"/>
            <w:gridSpan w:val="2"/>
            <w:tcBorders>
              <w:top w:val="nil"/>
              <w:left w:val="nil"/>
              <w:bottom w:val="nil"/>
              <w:right w:val="nil"/>
            </w:tcBorders>
            <w:noWrap w:val="0"/>
            <w:vAlign w:val="center"/>
          </w:tcPr>
          <w:p>
            <w:pPr>
              <w:snapToGrid w:val="0"/>
              <w:spacing w:line="220" w:lineRule="exact"/>
              <w:jc w:val="left"/>
              <w:rPr>
                <w:rFonts w:ascii="Times New Roman" w:hAnsi="Times New Roman"/>
                <w:bCs/>
                <w:color w:val="auto"/>
                <w:sz w:val="18"/>
                <w:szCs w:val="18"/>
                <w:highlight w:val="none"/>
              </w:rPr>
            </w:pPr>
            <w:r>
              <w:rPr>
                <w:rFonts w:ascii="Times New Roman" w:hAnsi="Times New Roman"/>
                <w:bCs/>
                <w:color w:val="auto"/>
                <w:sz w:val="18"/>
                <w:szCs w:val="18"/>
                <w:highlight w:val="none"/>
              </w:rPr>
              <w:t>单位详细名称：</w:t>
            </w:r>
          </w:p>
        </w:tc>
        <w:tc>
          <w:tcPr>
            <w:tcW w:w="3315" w:type="dxa"/>
            <w:tcBorders>
              <w:top w:val="nil"/>
              <w:left w:val="nil"/>
              <w:bottom w:val="nil"/>
              <w:right w:val="nil"/>
            </w:tcBorders>
            <w:noWrap w:val="0"/>
            <w:vAlign w:val="center"/>
          </w:tcPr>
          <w:p>
            <w:pPr>
              <w:snapToGrid w:val="0"/>
              <w:spacing w:line="22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２０</w:t>
            </w:r>
            <w:r>
              <w:rPr>
                <w:rFonts w:hint="eastAsia"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rPr>
              <w:t>年</w:t>
            </w:r>
          </w:p>
        </w:tc>
        <w:tc>
          <w:tcPr>
            <w:tcW w:w="1050" w:type="dxa"/>
            <w:tcBorders>
              <w:top w:val="nil"/>
              <w:left w:val="nil"/>
              <w:bottom w:val="nil"/>
              <w:right w:val="nil"/>
            </w:tcBorders>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有效期至：</w:t>
            </w:r>
          </w:p>
        </w:tc>
        <w:tc>
          <w:tcPr>
            <w:tcW w:w="1965" w:type="dxa"/>
            <w:tcBorders>
              <w:top w:val="nil"/>
              <w:left w:val="nil"/>
              <w:bottom w:val="nil"/>
              <w:right w:val="nil"/>
            </w:tcBorders>
            <w:noWrap w:val="0"/>
            <w:vAlign w:val="center"/>
          </w:tcPr>
          <w:p>
            <w:pPr>
              <w:spacing w:line="240" w:lineRule="exact"/>
              <w:jc w:val="right"/>
              <w:rPr>
                <w:rFonts w:ascii="Times New Roman" w:hAnsi="Times New Roman"/>
                <w:bCs/>
                <w:color w:val="auto"/>
                <w:sz w:val="18"/>
                <w:szCs w:val="18"/>
                <w:highlight w:val="none"/>
              </w:rPr>
            </w:pPr>
            <w:r>
              <w:rPr>
                <w:rFonts w:hint="eastAsia" w:ascii="Times New Roman" w:hAnsi="Times New Roman"/>
                <w:bCs/>
                <w:color w:val="auto"/>
                <w:sz w:val="18"/>
                <w:szCs w:val="18"/>
                <w:highlight w:val="none"/>
                <w:lang w:val="en-US" w:eastAsia="zh-CN"/>
              </w:rPr>
              <w:t>2027</w:t>
            </w:r>
            <w:r>
              <w:rPr>
                <w:rFonts w:ascii="Times New Roman" w:hAnsi="Times New Roman"/>
                <w:bCs/>
                <w:color w:val="auto"/>
                <w:sz w:val="18"/>
                <w:highlight w:val="none"/>
              </w:rPr>
              <w:t>年</w:t>
            </w:r>
            <w:r>
              <w:rPr>
                <w:rFonts w:hint="eastAsia" w:ascii="Times New Roman" w:hAnsi="Times New Roman"/>
                <w:bCs/>
                <w:color w:val="auto"/>
                <w:sz w:val="18"/>
                <w:highlight w:val="none"/>
                <w:lang w:val="en-US" w:eastAsia="zh-CN"/>
              </w:rPr>
              <w:t>12</w:t>
            </w:r>
            <w:r>
              <w:rPr>
                <w:rFonts w:ascii="Times New Roman" w:hAnsi="Times New Roman"/>
                <w:bCs/>
                <w:color w:val="auto"/>
                <w:sz w:val="18"/>
                <w:highlight w:val="none"/>
              </w:rPr>
              <w:t>月</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8" w:space="0"/>
              <w:left w:val="nil"/>
              <w:bottom w:val="single" w:color="auto" w:sz="4" w:space="0"/>
              <w:right w:val="single" w:color="auto" w:sz="2" w:space="0"/>
            </w:tcBorders>
            <w:noWrap w:val="0"/>
            <w:vAlign w:val="center"/>
          </w:tcPr>
          <w:p>
            <w:pPr>
              <w:snapToGrid w:val="0"/>
              <w:spacing w:line="280" w:lineRule="exact"/>
              <w:jc w:val="center"/>
              <w:rPr>
                <w:rFonts w:ascii="Times New Roman" w:hAnsi="Times New Roman"/>
                <w:bCs/>
                <w:color w:val="auto"/>
                <w:sz w:val="18"/>
                <w:szCs w:val="18"/>
                <w:highlight w:val="none"/>
              </w:rPr>
            </w:pPr>
            <w:r>
              <w:rPr>
                <w:rFonts w:hint="eastAsia"/>
                <w:bCs/>
                <w:color w:val="auto"/>
                <w:sz w:val="18"/>
                <w:szCs w:val="18"/>
                <w:highlight w:val="none"/>
              </w:rPr>
              <w:t>sName</w:t>
            </w:r>
          </w:p>
        </w:tc>
        <w:tc>
          <w:tcPr>
            <w:tcW w:w="8940" w:type="dxa"/>
            <w:gridSpan w:val="4"/>
            <w:tcBorders>
              <w:top w:val="single" w:color="auto" w:sz="8" w:space="0"/>
              <w:left w:val="single" w:color="auto" w:sz="2" w:space="0"/>
              <w:bottom w:val="single" w:color="auto" w:sz="4" w:space="0"/>
              <w:right w:val="nil"/>
            </w:tcBorders>
            <w:noWrap w:val="0"/>
            <w:vAlign w:val="center"/>
          </w:tcPr>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企业(单位)详细名称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sname_0</w:t>
            </w:r>
          </w:p>
        </w:tc>
        <w:tc>
          <w:tcPr>
            <w:tcW w:w="8940" w:type="dxa"/>
            <w:gridSpan w:val="4"/>
            <w:tcBorders>
              <w:top w:val="single" w:color="auto" w:sz="4" w:space="0"/>
              <w:left w:val="single" w:color="auto" w:sz="2" w:space="0"/>
              <w:bottom w:val="single" w:color="auto" w:sz="4" w:space="0"/>
              <w:right w:val="nil"/>
            </w:tcBorders>
            <w:noWrap w:val="0"/>
            <w:vAlign w:val="center"/>
          </w:tcPr>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企业(单位)英文名称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2" w:space="0"/>
              <w:right w:val="single" w:color="auto" w:sz="2" w:space="0"/>
            </w:tcBorders>
            <w:noWrap w:val="0"/>
            <w:vAlign w:val="center"/>
          </w:tcPr>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QA18</w:t>
            </w:r>
          </w:p>
        </w:tc>
        <w:tc>
          <w:tcPr>
            <w:tcW w:w="8940" w:type="dxa"/>
            <w:gridSpan w:val="4"/>
            <w:tcBorders>
              <w:top w:val="single" w:color="auto" w:sz="4" w:space="0"/>
              <w:left w:val="single" w:color="auto" w:sz="2" w:space="0"/>
              <w:bottom w:val="single" w:color="auto" w:sz="2" w:space="0"/>
              <w:right w:val="nil"/>
            </w:tcBorders>
            <w:noWrap w:val="0"/>
            <w:vAlign w:val="center"/>
          </w:tcPr>
          <w:p>
            <w:pPr>
              <w:snapToGrid w:val="0"/>
              <w:spacing w:line="280" w:lineRule="exact"/>
              <w:rPr>
                <w:rFonts w:ascii="Times New Roman" w:hAnsi="Times New Roman"/>
                <w:bCs/>
                <w:color w:val="auto"/>
                <w:sz w:val="18"/>
                <w:szCs w:val="18"/>
                <w:highlight w:val="none"/>
              </w:rPr>
            </w:pPr>
            <w:r>
              <w:rPr>
                <w:rFonts w:hint="eastAsia" w:ascii="宋体" w:hAnsi="宋体" w:cs="宋体"/>
                <w:bCs/>
                <w:color w:val="auto"/>
                <w:sz w:val="18"/>
                <w:szCs w:val="18"/>
                <w:highlight w:val="none"/>
              </w:rPr>
              <w:t>是否</w:t>
            </w:r>
            <w:r>
              <w:rPr>
                <w:rFonts w:ascii="宋体" w:hAnsi="宋体" w:cs="宋体"/>
                <w:bCs/>
                <w:color w:val="auto"/>
                <w:sz w:val="18"/>
                <w:szCs w:val="18"/>
                <w:highlight w:val="none"/>
              </w:rPr>
              <w:t>填写国家统计局一套表</w:t>
            </w:r>
            <w:r>
              <w:rPr>
                <w:rFonts w:hint="eastAsia" w:ascii="宋体" w:hAnsi="宋体" w:cs="宋体"/>
                <w:bCs/>
                <w:color w:val="auto"/>
                <w:sz w:val="18"/>
                <w:szCs w:val="18"/>
                <w:highlight w:val="none"/>
              </w:rPr>
              <w:t xml:space="preserve">  </w:t>
            </w:r>
            <w:r>
              <w:rPr>
                <w:rFonts w:ascii="宋体" w:hAnsi="宋体" w:cs="宋体"/>
                <w:bCs/>
                <w:color w:val="auto"/>
                <w:sz w:val="18"/>
                <w:szCs w:val="18"/>
                <w:highlight w:val="none"/>
              </w:rPr>
              <w:t>□  1.是  2.否</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2" w:space="0"/>
              <w:left w:val="nil"/>
              <w:bottom w:val="single" w:color="auto" w:sz="2" w:space="0"/>
              <w:right w:val="single" w:color="auto" w:sz="2" w:space="0"/>
            </w:tcBorders>
            <w:noWrap w:val="0"/>
            <w:vAlign w:val="center"/>
          </w:tcPr>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QA19</w:t>
            </w:r>
          </w:p>
        </w:tc>
        <w:tc>
          <w:tcPr>
            <w:tcW w:w="8940" w:type="dxa"/>
            <w:gridSpan w:val="4"/>
            <w:tcBorders>
              <w:top w:val="single" w:color="auto" w:sz="2" w:space="0"/>
              <w:left w:val="single" w:color="auto" w:sz="2" w:space="0"/>
              <w:bottom w:val="single" w:color="auto" w:sz="2" w:space="0"/>
              <w:right w:val="nil"/>
            </w:tcBorders>
            <w:noWrap w:val="0"/>
            <w:vAlign w:val="center"/>
          </w:tcPr>
          <w:p>
            <w:pPr>
              <w:snapToGrid w:val="0"/>
              <w:spacing w:line="280" w:lineRule="exact"/>
              <w:rPr>
                <w:rFonts w:ascii="Times New Roman" w:hAnsi="Times New Roman"/>
                <w:bCs/>
                <w:color w:val="auto"/>
                <w:szCs w:val="21"/>
                <w:highlight w:val="none"/>
              </w:rPr>
            </w:pPr>
            <w:r>
              <w:rPr>
                <w:rFonts w:hint="eastAsia"/>
                <w:bCs/>
                <w:color w:val="auto"/>
                <w:sz w:val="18"/>
                <w:szCs w:val="18"/>
                <w:highlight w:val="none"/>
              </w:rPr>
              <w:t>行政区划代码□□□□□□</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2" w:space="0"/>
              <w:left w:val="nil"/>
              <w:bottom w:val="single" w:color="auto" w:sz="4" w:space="0"/>
              <w:right w:val="single" w:color="auto" w:sz="2" w:space="0"/>
            </w:tcBorders>
            <w:noWrap w:val="0"/>
            <w:vAlign w:val="center"/>
          </w:tcPr>
          <w:p>
            <w:pPr>
              <w:snapToGrid w:val="0"/>
              <w:spacing w:line="280" w:lineRule="exact"/>
              <w:jc w:val="center"/>
              <w:rPr>
                <w:rFonts w:hint="default" w:ascii="Times New Roman" w:hAnsi="Times New Roman" w:eastAsia="宋体"/>
                <w:bCs/>
                <w:color w:val="auto"/>
                <w:sz w:val="18"/>
                <w:szCs w:val="18"/>
                <w:highlight w:val="none"/>
                <w:lang w:val="en-US" w:eastAsia="zh-CN"/>
              </w:rPr>
            </w:pPr>
            <w:r>
              <w:rPr>
                <w:bCs/>
                <w:color w:val="auto"/>
                <w:sz w:val="18"/>
                <w:szCs w:val="18"/>
                <w:highlight w:val="none"/>
              </w:rPr>
              <w:t>QA</w:t>
            </w:r>
            <w:r>
              <w:rPr>
                <w:rFonts w:hint="eastAsia"/>
                <w:bCs/>
                <w:color w:val="auto"/>
                <w:sz w:val="18"/>
                <w:szCs w:val="18"/>
                <w:highlight w:val="none"/>
                <w:lang w:val="en-US" w:eastAsia="zh-CN"/>
              </w:rPr>
              <w:t>15</w:t>
            </w:r>
          </w:p>
        </w:tc>
        <w:tc>
          <w:tcPr>
            <w:tcW w:w="8940" w:type="dxa"/>
            <w:gridSpan w:val="4"/>
            <w:tcBorders>
              <w:top w:val="single" w:color="auto" w:sz="2" w:space="0"/>
              <w:left w:val="single" w:color="auto" w:sz="2" w:space="0"/>
              <w:bottom w:val="single" w:color="auto" w:sz="4" w:space="0"/>
              <w:right w:val="nil"/>
            </w:tcBorders>
            <w:noWrap w:val="0"/>
            <w:vAlign w:val="center"/>
          </w:tcPr>
          <w:p>
            <w:pPr>
              <w:snapToGrid w:val="0"/>
              <w:spacing w:line="280" w:lineRule="exact"/>
              <w:rPr>
                <w:rFonts w:hint="eastAsia" w:ascii="Calibri" w:hAnsi="Calibri" w:cs="Times New Roman"/>
                <w:bCs/>
                <w:color w:val="auto"/>
                <w:sz w:val="18"/>
                <w:szCs w:val="18"/>
                <w:highlight w:val="none"/>
              </w:rPr>
            </w:pPr>
            <w:r>
              <w:rPr>
                <w:rFonts w:hint="eastAsia" w:ascii="Calibri" w:hAnsi="Calibri" w:cs="Times New Roman"/>
                <w:bCs/>
                <w:color w:val="auto"/>
                <w:sz w:val="18"/>
                <w:szCs w:val="18"/>
                <w:highlight w:val="none"/>
              </w:rPr>
              <w:t>机构类型    □□</w:t>
            </w:r>
          </w:p>
          <w:p>
            <w:pPr>
              <w:snapToGrid w:val="0"/>
              <w:spacing w:line="280" w:lineRule="exact"/>
              <w:rPr>
                <w:rFonts w:hint="eastAsia" w:ascii="Times New Roman" w:hAnsi="Times New Roman"/>
                <w:bCs/>
                <w:color w:val="auto"/>
                <w:kern w:val="2"/>
                <w:sz w:val="18"/>
                <w:szCs w:val="18"/>
                <w:highlight w:val="none"/>
                <w:lang w:val="en-US" w:eastAsia="zh-CN" w:bidi="ar-SA"/>
              </w:rPr>
            </w:pPr>
            <w:r>
              <w:rPr>
                <w:rFonts w:hint="eastAsia" w:ascii="Calibri" w:hAnsi="Calibri" w:cs="Times New Roman"/>
                <w:bCs/>
                <w:color w:val="auto"/>
                <w:sz w:val="18"/>
                <w:szCs w:val="18"/>
                <w:highlight w:val="none"/>
              </w:rPr>
              <w:t>10 企业   20 事业单位   40 社会团体   51 民办非企业单位</w:t>
            </w:r>
            <w:r>
              <w:rPr>
                <w:rFonts w:hint="eastAsia" w:ascii="Calibri" w:hAnsi="Calibri" w:cs="Times New Roman"/>
                <w:bCs/>
                <w:color w:val="auto"/>
                <w:sz w:val="18"/>
                <w:szCs w:val="18"/>
                <w:highlight w:val="none"/>
                <w:lang w:val="en-US" w:eastAsia="zh-CN"/>
              </w:rPr>
              <w:t xml:space="preserve">  </w:t>
            </w:r>
            <w:r>
              <w:rPr>
                <w:rFonts w:hint="eastAsia" w:ascii="Calibri" w:hAnsi="Calibri" w:cs="Times New Roman"/>
                <w:bCs/>
                <w:color w:val="auto"/>
                <w:sz w:val="18"/>
                <w:szCs w:val="18"/>
                <w:highlight w:val="none"/>
              </w:rPr>
              <w:t>90 其他组织机构</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4" w:space="0"/>
            </w:tcBorders>
            <w:noWrap w:val="0"/>
            <w:vAlign w:val="center"/>
          </w:tcPr>
          <w:p>
            <w:pPr>
              <w:snapToGrid w:val="0"/>
              <w:spacing w:line="280" w:lineRule="exact"/>
              <w:jc w:val="center"/>
              <w:rPr>
                <w:rFonts w:ascii="Times New Roman" w:hAnsi="Times New Roman"/>
                <w:bCs/>
                <w:color w:val="auto"/>
                <w:sz w:val="18"/>
                <w:szCs w:val="18"/>
                <w:highlight w:val="none"/>
              </w:rPr>
            </w:pPr>
            <w:r>
              <w:rPr>
                <w:rFonts w:hint="eastAsia"/>
                <w:bCs/>
                <w:color w:val="auto"/>
                <w:sz w:val="18"/>
                <w:szCs w:val="18"/>
                <w:highlight w:val="none"/>
              </w:rPr>
              <w:t>sAddress</w:t>
            </w:r>
            <w:r>
              <w:rPr>
                <w:bCs/>
                <w:color w:val="auto"/>
                <w:sz w:val="18"/>
                <w:szCs w:val="18"/>
                <w:highlight w:val="none"/>
              </w:rPr>
              <w:t>QA06</w:t>
            </w:r>
          </w:p>
        </w:tc>
        <w:tc>
          <w:tcPr>
            <w:tcW w:w="8940" w:type="dxa"/>
            <w:gridSpan w:val="4"/>
            <w:tcBorders>
              <w:top w:val="single" w:color="auto" w:sz="4" w:space="0"/>
              <w:left w:val="single" w:color="auto" w:sz="4" w:space="0"/>
              <w:bottom w:val="single" w:color="auto" w:sz="4" w:space="0"/>
              <w:right w:val="nil"/>
            </w:tcBorders>
            <w:noWrap w:val="0"/>
            <w:vAlign w:val="center"/>
          </w:tcPr>
          <w:p>
            <w:pPr>
              <w:snapToGrid w:val="0"/>
              <w:spacing w:line="280" w:lineRule="exact"/>
              <w:rPr>
                <w:bCs/>
                <w:color w:val="auto"/>
                <w:sz w:val="18"/>
                <w:szCs w:val="18"/>
                <w:highlight w:val="none"/>
              </w:rPr>
            </w:pPr>
            <w:r>
              <w:rPr>
                <w:rFonts w:hint="eastAsia"/>
                <w:bCs/>
                <w:color w:val="auto"/>
                <w:sz w:val="18"/>
                <w:szCs w:val="18"/>
                <w:highlight w:val="none"/>
              </w:rPr>
              <w:t>企业单位通讯地址（sAddress）</w:t>
            </w:r>
          </w:p>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邮政编码（QA06）□□□□□□</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4" w:space="0"/>
            </w:tcBorders>
            <w:noWrap w:val="0"/>
            <w:vAlign w:val="center"/>
          </w:tcPr>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QA07</w:t>
            </w:r>
          </w:p>
        </w:tc>
        <w:tc>
          <w:tcPr>
            <w:tcW w:w="8940" w:type="dxa"/>
            <w:gridSpan w:val="4"/>
            <w:tcBorders>
              <w:top w:val="single" w:color="auto" w:sz="4" w:space="0"/>
              <w:left w:val="single" w:color="auto" w:sz="4" w:space="0"/>
              <w:bottom w:val="single" w:color="auto" w:sz="4" w:space="0"/>
              <w:right w:val="nil"/>
            </w:tcBorders>
            <w:noWrap w:val="0"/>
            <w:vAlign w:val="center"/>
          </w:tcPr>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企业注册地址</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4" w:space="0"/>
            </w:tcBorders>
            <w:shd w:val="clear" w:color="auto" w:fill="D9D9D9"/>
            <w:noWrap w:val="0"/>
            <w:vAlign w:val="center"/>
          </w:tcPr>
          <w:p>
            <w:pPr>
              <w:snapToGrid w:val="0"/>
              <w:spacing w:line="280" w:lineRule="exact"/>
              <w:jc w:val="center"/>
              <w:rPr>
                <w:bCs/>
                <w:color w:val="auto"/>
                <w:sz w:val="18"/>
                <w:szCs w:val="18"/>
                <w:highlight w:val="none"/>
              </w:rPr>
            </w:pPr>
            <w:r>
              <w:rPr>
                <w:bCs/>
                <w:color w:val="auto"/>
                <w:sz w:val="18"/>
                <w:szCs w:val="18"/>
                <w:highlight w:val="none"/>
              </w:rPr>
              <w:t>QB07_2</w:t>
            </w:r>
          </w:p>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QB07_3</w:t>
            </w:r>
          </w:p>
        </w:tc>
        <w:tc>
          <w:tcPr>
            <w:tcW w:w="8940" w:type="dxa"/>
            <w:gridSpan w:val="4"/>
            <w:tcBorders>
              <w:top w:val="single" w:color="auto" w:sz="4" w:space="0"/>
              <w:left w:val="single" w:color="auto" w:sz="4" w:space="0"/>
              <w:bottom w:val="single" w:color="auto" w:sz="4" w:space="0"/>
              <w:right w:val="nil"/>
            </w:tcBorders>
            <w:shd w:val="clear" w:color="auto" w:fill="D9D9D9"/>
            <w:noWrap w:val="0"/>
            <w:vAlign w:val="center"/>
          </w:tcPr>
          <w:p>
            <w:pPr>
              <w:snapToGrid w:val="0"/>
              <w:spacing w:line="280" w:lineRule="exact"/>
              <w:rPr>
                <w:rFonts w:cs="宋体"/>
                <w:bCs/>
                <w:color w:val="auto"/>
                <w:sz w:val="18"/>
                <w:szCs w:val="18"/>
                <w:highlight w:val="none"/>
              </w:rPr>
            </w:pPr>
            <w:r>
              <w:rPr>
                <w:rFonts w:cs="宋体"/>
                <w:bCs/>
                <w:color w:val="auto"/>
                <w:sz w:val="18"/>
                <w:szCs w:val="18"/>
                <w:highlight w:val="none"/>
              </w:rPr>
              <w:t xml:space="preserve">企业注册地是否在国家高新技术产业开发区内（QB07_2）       </w:t>
            </w:r>
            <w:r>
              <w:rPr>
                <w:rFonts w:ascii="宋体" w:hAnsi="宋体" w:cs="宋体"/>
                <w:bCs/>
                <w:color w:val="auto"/>
                <w:sz w:val="18"/>
                <w:szCs w:val="18"/>
                <w:highlight w:val="none"/>
              </w:rPr>
              <w:t xml:space="preserve"> □</w:t>
            </w:r>
            <w:r>
              <w:rPr>
                <w:rFonts w:cs="宋体"/>
                <w:bCs/>
                <w:color w:val="auto"/>
                <w:sz w:val="18"/>
                <w:szCs w:val="18"/>
                <w:highlight w:val="none"/>
              </w:rPr>
              <w:t xml:space="preserve">  1.是  2.否</w:t>
            </w:r>
          </w:p>
          <w:p>
            <w:pPr>
              <w:snapToGrid w:val="0"/>
              <w:spacing w:line="280" w:lineRule="exact"/>
              <w:rPr>
                <w:bCs/>
                <w:color w:val="auto"/>
                <w:sz w:val="18"/>
                <w:szCs w:val="18"/>
                <w:highlight w:val="none"/>
              </w:rPr>
            </w:pPr>
            <w:r>
              <w:rPr>
                <w:rFonts w:cs="宋体"/>
                <w:bCs/>
                <w:color w:val="auto"/>
                <w:sz w:val="18"/>
                <w:szCs w:val="18"/>
                <w:highlight w:val="none"/>
              </w:rPr>
              <w:t xml:space="preserve">企业主要生产经营活动是否在国家高新技术产业开发区内（QB07_3） </w:t>
            </w:r>
            <w:r>
              <w:rPr>
                <w:rFonts w:ascii="宋体" w:hAnsi="宋体" w:cs="宋体"/>
                <w:bCs/>
                <w:color w:val="auto"/>
                <w:sz w:val="18"/>
                <w:szCs w:val="18"/>
                <w:highlight w:val="none"/>
              </w:rPr>
              <w:t xml:space="preserve"> □</w:t>
            </w:r>
            <w:r>
              <w:rPr>
                <w:rFonts w:cs="宋体"/>
                <w:bCs/>
                <w:color w:val="auto"/>
                <w:sz w:val="18"/>
                <w:szCs w:val="18"/>
                <w:highlight w:val="none"/>
              </w:rPr>
              <w:t xml:space="preserve">  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left w:val="nil"/>
            </w:tcBorders>
            <w:noWrap w:val="0"/>
            <w:vAlign w:val="center"/>
          </w:tcPr>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QB08</w:t>
            </w:r>
          </w:p>
        </w:tc>
        <w:tc>
          <w:tcPr>
            <w:tcW w:w="8940" w:type="dxa"/>
            <w:gridSpan w:val="4"/>
            <w:tcBorders>
              <w:right w:val="nil"/>
            </w:tcBorders>
            <w:noWrap w:val="0"/>
            <w:vAlign w:val="center"/>
          </w:tcPr>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已进区企业被批准入区时间（QB08）□□□□年</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4" w:space="0"/>
            </w:tcBorders>
            <w:noWrap w:val="0"/>
            <w:vAlign w:val="center"/>
          </w:tcPr>
          <w:p>
            <w:pPr>
              <w:snapToGrid w:val="0"/>
              <w:spacing w:line="280" w:lineRule="exact"/>
              <w:jc w:val="left"/>
              <w:rPr>
                <w:bCs/>
                <w:color w:val="auto"/>
                <w:sz w:val="18"/>
                <w:szCs w:val="18"/>
                <w:highlight w:val="none"/>
              </w:rPr>
            </w:pPr>
          </w:p>
          <w:p>
            <w:pPr>
              <w:snapToGrid w:val="0"/>
              <w:spacing w:line="280" w:lineRule="exact"/>
              <w:jc w:val="center"/>
              <w:rPr>
                <w:bCs/>
                <w:color w:val="auto"/>
                <w:sz w:val="18"/>
                <w:szCs w:val="18"/>
                <w:highlight w:val="none"/>
              </w:rPr>
            </w:pPr>
            <w:r>
              <w:rPr>
                <w:bCs/>
                <w:color w:val="auto"/>
                <w:sz w:val="18"/>
                <w:szCs w:val="18"/>
                <w:highlight w:val="none"/>
              </w:rPr>
              <w:t>QA08</w:t>
            </w:r>
          </w:p>
          <w:p>
            <w:pPr>
              <w:snapToGrid w:val="0"/>
              <w:spacing w:line="280" w:lineRule="exact"/>
              <w:jc w:val="center"/>
              <w:rPr>
                <w:bCs/>
                <w:color w:val="auto"/>
                <w:sz w:val="18"/>
                <w:szCs w:val="18"/>
                <w:highlight w:val="none"/>
              </w:rPr>
            </w:pPr>
            <w:r>
              <w:rPr>
                <w:bCs/>
                <w:color w:val="auto"/>
                <w:sz w:val="18"/>
                <w:szCs w:val="18"/>
                <w:highlight w:val="none"/>
              </w:rPr>
              <w:t>QA09</w:t>
            </w:r>
          </w:p>
          <w:p>
            <w:pPr>
              <w:snapToGrid w:val="0"/>
              <w:spacing w:line="280" w:lineRule="exact"/>
              <w:jc w:val="center"/>
              <w:rPr>
                <w:bCs/>
                <w:color w:val="auto"/>
                <w:sz w:val="18"/>
                <w:szCs w:val="18"/>
                <w:highlight w:val="none"/>
              </w:rPr>
            </w:pPr>
            <w:r>
              <w:rPr>
                <w:bCs/>
                <w:color w:val="auto"/>
                <w:sz w:val="18"/>
                <w:szCs w:val="18"/>
                <w:highlight w:val="none"/>
              </w:rPr>
              <w:t>QA20</w:t>
            </w:r>
          </w:p>
          <w:p>
            <w:pPr>
              <w:snapToGrid w:val="0"/>
              <w:spacing w:line="280" w:lineRule="exact"/>
              <w:jc w:val="center"/>
              <w:rPr>
                <w:bCs/>
                <w:color w:val="auto"/>
                <w:sz w:val="18"/>
                <w:szCs w:val="18"/>
                <w:highlight w:val="none"/>
              </w:rPr>
            </w:pPr>
            <w:r>
              <w:rPr>
                <w:bCs/>
                <w:color w:val="auto"/>
                <w:sz w:val="18"/>
                <w:szCs w:val="18"/>
                <w:highlight w:val="none"/>
              </w:rPr>
              <w:t>QA11</w:t>
            </w:r>
          </w:p>
          <w:p>
            <w:pPr>
              <w:snapToGrid w:val="0"/>
              <w:spacing w:line="280" w:lineRule="exact"/>
              <w:jc w:val="center"/>
              <w:rPr>
                <w:bCs/>
                <w:color w:val="auto"/>
                <w:sz w:val="18"/>
                <w:szCs w:val="18"/>
                <w:highlight w:val="none"/>
              </w:rPr>
            </w:pPr>
            <w:r>
              <w:rPr>
                <w:bCs/>
                <w:color w:val="auto"/>
                <w:sz w:val="18"/>
                <w:szCs w:val="18"/>
                <w:highlight w:val="none"/>
              </w:rPr>
              <w:t>QA17</w:t>
            </w:r>
          </w:p>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 xml:space="preserve">QA17_1 QA13 </w:t>
            </w:r>
          </w:p>
        </w:tc>
        <w:tc>
          <w:tcPr>
            <w:tcW w:w="8940" w:type="dxa"/>
            <w:gridSpan w:val="4"/>
            <w:tcBorders>
              <w:top w:val="single" w:color="auto" w:sz="4" w:space="0"/>
              <w:left w:val="single" w:color="auto" w:sz="4" w:space="0"/>
              <w:bottom w:val="single" w:color="auto" w:sz="4" w:space="0"/>
              <w:right w:val="nil"/>
            </w:tcBorders>
            <w:noWrap w:val="0"/>
            <w:vAlign w:val="center"/>
          </w:tcPr>
          <w:p>
            <w:pPr>
              <w:snapToGrid w:val="0"/>
              <w:spacing w:line="280" w:lineRule="exact"/>
              <w:jc w:val="left"/>
              <w:rPr>
                <w:bCs/>
                <w:color w:val="auto"/>
                <w:sz w:val="18"/>
                <w:szCs w:val="18"/>
                <w:highlight w:val="none"/>
              </w:rPr>
            </w:pPr>
            <w:r>
              <w:rPr>
                <w:rFonts w:hint="eastAsia"/>
                <w:bCs/>
                <w:color w:val="auto"/>
                <w:sz w:val="18"/>
                <w:szCs w:val="18"/>
                <w:highlight w:val="none"/>
              </w:rPr>
              <w:t>联系方式</w:t>
            </w:r>
          </w:p>
          <w:p>
            <w:pPr>
              <w:snapToGrid w:val="0"/>
              <w:spacing w:line="280" w:lineRule="exact"/>
              <w:jc w:val="left"/>
              <w:rPr>
                <w:bCs/>
                <w:color w:val="auto"/>
                <w:sz w:val="18"/>
                <w:szCs w:val="18"/>
                <w:highlight w:val="none"/>
              </w:rPr>
            </w:pPr>
            <w:r>
              <w:rPr>
                <w:rFonts w:hint="eastAsia"/>
                <w:bCs/>
                <w:color w:val="auto"/>
                <w:sz w:val="18"/>
                <w:szCs w:val="18"/>
                <w:highlight w:val="none"/>
              </w:rPr>
              <w:t>企业负责人（QA08）</w:t>
            </w:r>
          </w:p>
          <w:p>
            <w:pPr>
              <w:snapToGrid w:val="0"/>
              <w:spacing w:line="280" w:lineRule="exact"/>
              <w:rPr>
                <w:bCs/>
                <w:color w:val="auto"/>
                <w:sz w:val="18"/>
                <w:szCs w:val="18"/>
                <w:highlight w:val="none"/>
              </w:rPr>
            </w:pPr>
            <w:r>
              <w:rPr>
                <w:rFonts w:hint="eastAsia"/>
                <w:bCs/>
                <w:color w:val="auto"/>
                <w:sz w:val="18"/>
                <w:szCs w:val="18"/>
                <w:highlight w:val="none"/>
              </w:rPr>
              <w:t>联系电话（QA09）</w:t>
            </w:r>
          </w:p>
          <w:p>
            <w:pPr>
              <w:snapToGrid w:val="0"/>
              <w:spacing w:line="280" w:lineRule="exact"/>
              <w:rPr>
                <w:bCs/>
                <w:color w:val="auto"/>
                <w:sz w:val="18"/>
                <w:szCs w:val="18"/>
                <w:highlight w:val="none"/>
              </w:rPr>
            </w:pPr>
            <w:r>
              <w:rPr>
                <w:rFonts w:hint="eastAsia"/>
                <w:bCs/>
                <w:color w:val="auto"/>
                <w:sz w:val="18"/>
                <w:szCs w:val="18"/>
                <w:highlight w:val="none"/>
              </w:rPr>
              <w:t>统计负责人（QA20）</w:t>
            </w:r>
          </w:p>
          <w:p>
            <w:pPr>
              <w:snapToGrid w:val="0"/>
              <w:spacing w:line="280" w:lineRule="exact"/>
              <w:rPr>
                <w:bCs/>
                <w:color w:val="auto"/>
                <w:sz w:val="18"/>
                <w:szCs w:val="18"/>
                <w:highlight w:val="none"/>
              </w:rPr>
            </w:pPr>
            <w:r>
              <w:rPr>
                <w:rFonts w:hint="eastAsia"/>
                <w:bCs/>
                <w:color w:val="auto"/>
                <w:sz w:val="18"/>
                <w:szCs w:val="18"/>
                <w:highlight w:val="none"/>
              </w:rPr>
              <w:t>填报人（QA11）</w:t>
            </w:r>
          </w:p>
          <w:p>
            <w:pPr>
              <w:snapToGrid w:val="0"/>
              <w:spacing w:line="280" w:lineRule="exact"/>
              <w:rPr>
                <w:bCs/>
                <w:color w:val="auto"/>
                <w:sz w:val="18"/>
                <w:szCs w:val="18"/>
                <w:highlight w:val="none"/>
              </w:rPr>
            </w:pPr>
            <w:r>
              <w:rPr>
                <w:rFonts w:hint="eastAsia"/>
                <w:bCs/>
                <w:color w:val="auto"/>
                <w:sz w:val="18"/>
                <w:szCs w:val="18"/>
                <w:highlight w:val="none"/>
              </w:rPr>
              <w:t>填报人电话（QA17）</w:t>
            </w:r>
          </w:p>
          <w:p>
            <w:pPr>
              <w:snapToGrid w:val="0"/>
              <w:spacing w:line="280" w:lineRule="exact"/>
              <w:rPr>
                <w:bCs/>
                <w:color w:val="auto"/>
                <w:sz w:val="18"/>
                <w:szCs w:val="18"/>
                <w:highlight w:val="none"/>
              </w:rPr>
            </w:pPr>
            <w:r>
              <w:rPr>
                <w:rFonts w:hint="eastAsia"/>
                <w:bCs/>
                <w:color w:val="auto"/>
                <w:sz w:val="18"/>
                <w:szCs w:val="18"/>
                <w:highlight w:val="none"/>
              </w:rPr>
              <w:t>填报人手机（QA17_1）□□□□□□□□□□□</w:t>
            </w:r>
          </w:p>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email地址</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2" w:space="0"/>
              <w:right w:val="single" w:color="auto" w:sz="2" w:space="0"/>
            </w:tcBorders>
            <w:noWrap w:val="0"/>
            <w:vAlign w:val="center"/>
          </w:tcPr>
          <w:p>
            <w:pPr>
              <w:snapToGrid w:val="0"/>
              <w:spacing w:line="280" w:lineRule="exact"/>
              <w:jc w:val="center"/>
              <w:rPr>
                <w:bCs/>
                <w:color w:val="auto"/>
                <w:sz w:val="18"/>
                <w:szCs w:val="18"/>
                <w:highlight w:val="none"/>
              </w:rPr>
            </w:pPr>
            <w:r>
              <w:rPr>
                <w:bCs/>
                <w:color w:val="auto"/>
                <w:sz w:val="18"/>
                <w:szCs w:val="18"/>
                <w:highlight w:val="none"/>
              </w:rPr>
              <w:t>QD19</w:t>
            </w:r>
          </w:p>
          <w:p>
            <w:pPr>
              <w:snapToGrid w:val="0"/>
              <w:spacing w:line="280" w:lineRule="exact"/>
              <w:jc w:val="center"/>
              <w:rPr>
                <w:bCs/>
                <w:color w:val="auto"/>
                <w:sz w:val="18"/>
                <w:szCs w:val="18"/>
                <w:highlight w:val="none"/>
              </w:rPr>
            </w:pPr>
            <w:r>
              <w:rPr>
                <w:bCs/>
                <w:color w:val="auto"/>
                <w:sz w:val="18"/>
                <w:szCs w:val="18"/>
                <w:highlight w:val="none"/>
              </w:rPr>
              <w:t>QD20</w:t>
            </w:r>
          </w:p>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QD22</w:t>
            </w:r>
          </w:p>
        </w:tc>
        <w:tc>
          <w:tcPr>
            <w:tcW w:w="8940" w:type="dxa"/>
            <w:gridSpan w:val="4"/>
            <w:tcBorders>
              <w:top w:val="single" w:color="auto" w:sz="4" w:space="0"/>
              <w:left w:val="single" w:color="auto" w:sz="2" w:space="0"/>
              <w:bottom w:val="single" w:color="auto" w:sz="2" w:space="0"/>
              <w:right w:val="nil"/>
            </w:tcBorders>
            <w:noWrap w:val="0"/>
            <w:vAlign w:val="center"/>
          </w:tcPr>
          <w:p>
            <w:pPr>
              <w:spacing w:line="280" w:lineRule="exact"/>
              <w:rPr>
                <w:bCs/>
                <w:color w:val="auto"/>
                <w:sz w:val="18"/>
                <w:szCs w:val="24"/>
                <w:highlight w:val="none"/>
              </w:rPr>
            </w:pPr>
            <w:r>
              <w:rPr>
                <w:rFonts w:hint="eastAsia"/>
                <w:bCs/>
                <w:color w:val="auto"/>
                <w:sz w:val="18"/>
                <w:szCs w:val="24"/>
                <w:highlight w:val="none"/>
              </w:rPr>
              <w:t>企业法人性别（QD19）</w:t>
            </w:r>
            <w:r>
              <w:rPr>
                <w:rFonts w:hint="eastAsia"/>
                <w:bCs/>
                <w:color w:val="auto"/>
                <w:sz w:val="18"/>
                <w:szCs w:val="18"/>
                <w:highlight w:val="none"/>
              </w:rPr>
              <w:t>□</w:t>
            </w:r>
            <w:r>
              <w:rPr>
                <w:rFonts w:hint="eastAsia"/>
                <w:bCs/>
                <w:color w:val="auto"/>
                <w:sz w:val="18"/>
                <w:szCs w:val="24"/>
                <w:highlight w:val="none"/>
              </w:rPr>
              <w:t xml:space="preserve">  1.男  2.女</w:t>
            </w:r>
          </w:p>
          <w:p>
            <w:pPr>
              <w:spacing w:line="280" w:lineRule="exact"/>
              <w:rPr>
                <w:bCs/>
                <w:color w:val="auto"/>
                <w:sz w:val="18"/>
                <w:szCs w:val="24"/>
                <w:highlight w:val="none"/>
              </w:rPr>
            </w:pPr>
            <w:r>
              <w:rPr>
                <w:rFonts w:hint="eastAsia"/>
                <w:bCs/>
                <w:color w:val="auto"/>
                <w:sz w:val="18"/>
                <w:szCs w:val="24"/>
                <w:highlight w:val="none"/>
              </w:rPr>
              <w:t xml:space="preserve">出生年份(QD20)           </w:t>
            </w:r>
            <w:r>
              <w:rPr>
                <w:rFonts w:hint="eastAsia"/>
                <w:bCs/>
                <w:color w:val="auto"/>
                <w:sz w:val="18"/>
                <w:szCs w:val="18"/>
                <w:highlight w:val="none"/>
              </w:rPr>
              <w:t>□□□□</w:t>
            </w:r>
            <w:r>
              <w:rPr>
                <w:rFonts w:hint="eastAsia"/>
                <w:bCs/>
                <w:color w:val="auto"/>
                <w:sz w:val="18"/>
                <w:szCs w:val="24"/>
                <w:highlight w:val="none"/>
              </w:rPr>
              <w:t>年</w:t>
            </w:r>
          </w:p>
          <w:p>
            <w:pPr>
              <w:snapToGrid w:val="0"/>
              <w:spacing w:line="280" w:lineRule="exact"/>
              <w:rPr>
                <w:rFonts w:ascii="Times New Roman" w:hAnsi="Times New Roman"/>
                <w:bCs/>
                <w:color w:val="auto"/>
                <w:sz w:val="18"/>
                <w:szCs w:val="18"/>
                <w:highlight w:val="none"/>
              </w:rPr>
            </w:pPr>
            <w:r>
              <w:rPr>
                <w:rFonts w:hint="eastAsia"/>
                <w:bCs/>
                <w:color w:val="auto"/>
                <w:sz w:val="18"/>
                <w:szCs w:val="24"/>
                <w:highlight w:val="none"/>
              </w:rPr>
              <w:t>学历(QD22)□11.博士12.硕士2.本科3.大专4.其他</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2" w:space="0"/>
              <w:right w:val="single" w:color="auto" w:sz="2" w:space="0"/>
            </w:tcBorders>
            <w:shd w:val="clear" w:color="auto" w:fill="D9D9D9"/>
            <w:noWrap w:val="0"/>
            <w:vAlign w:val="center"/>
          </w:tcPr>
          <w:p>
            <w:pPr>
              <w:snapToGrid w:val="0"/>
              <w:spacing w:line="280" w:lineRule="exact"/>
              <w:jc w:val="center"/>
              <w:rPr>
                <w:bCs/>
                <w:color w:val="auto"/>
                <w:sz w:val="18"/>
                <w:szCs w:val="18"/>
                <w:highlight w:val="none"/>
              </w:rPr>
            </w:pPr>
            <w:r>
              <w:rPr>
                <w:bCs/>
                <w:color w:val="auto"/>
                <w:sz w:val="18"/>
                <w:szCs w:val="18"/>
                <w:highlight w:val="none"/>
              </w:rPr>
              <w:t>QB21</w:t>
            </w:r>
          </w:p>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QB22</w:t>
            </w:r>
          </w:p>
        </w:tc>
        <w:tc>
          <w:tcPr>
            <w:tcW w:w="8940" w:type="dxa"/>
            <w:gridSpan w:val="4"/>
            <w:tcBorders>
              <w:top w:val="single" w:color="auto" w:sz="4" w:space="0"/>
              <w:left w:val="single" w:color="auto" w:sz="2" w:space="0"/>
              <w:bottom w:val="single" w:color="auto" w:sz="2" w:space="0"/>
              <w:right w:val="nil"/>
            </w:tcBorders>
            <w:shd w:val="clear" w:color="auto" w:fill="D9D9D9"/>
            <w:noWrap w:val="0"/>
            <w:vAlign w:val="center"/>
          </w:tcPr>
          <w:p>
            <w:pPr>
              <w:spacing w:line="280" w:lineRule="exact"/>
              <w:rPr>
                <w:rFonts w:ascii="宋体" w:hAnsi="宋体" w:cs="宋体"/>
                <w:bCs/>
                <w:color w:val="auto"/>
                <w:sz w:val="18"/>
                <w:szCs w:val="18"/>
                <w:highlight w:val="none"/>
              </w:rPr>
            </w:pPr>
            <w:r>
              <w:rPr>
                <w:rFonts w:hint="eastAsia" w:ascii="宋体" w:hAnsi="宋体" w:cs="宋体"/>
                <w:bCs/>
                <w:color w:val="auto"/>
                <w:sz w:val="18"/>
                <w:szCs w:val="18"/>
                <w:highlight w:val="none"/>
              </w:rPr>
              <w:t>企业是否进入国家自主创新示范区（</w:t>
            </w:r>
            <w:r>
              <w:rPr>
                <w:rFonts w:ascii="宋体" w:hAnsi="宋体" w:cs="宋体"/>
                <w:bCs/>
                <w:color w:val="auto"/>
                <w:sz w:val="18"/>
                <w:szCs w:val="18"/>
                <w:highlight w:val="none"/>
              </w:rPr>
              <w:t xml:space="preserve">QB21）   </w:t>
            </w:r>
            <w:r>
              <w:rPr>
                <w:rFonts w:hint="eastAsia" w:ascii="宋体" w:hAnsi="宋体" w:cs="宋体"/>
                <w:bCs/>
                <w:color w:val="auto"/>
                <w:sz w:val="18"/>
                <w:szCs w:val="18"/>
                <w:highlight w:val="none"/>
              </w:rPr>
              <w:t>□</w:t>
            </w:r>
            <w:r>
              <w:rPr>
                <w:rFonts w:ascii="宋体" w:hAnsi="宋体" w:cs="宋体"/>
                <w:bCs/>
                <w:color w:val="auto"/>
                <w:sz w:val="18"/>
                <w:szCs w:val="18"/>
                <w:highlight w:val="none"/>
              </w:rPr>
              <w:t xml:space="preserve">      1.是  2.否</w:t>
            </w:r>
          </w:p>
          <w:p>
            <w:pPr>
              <w:spacing w:line="280" w:lineRule="exact"/>
              <w:rPr>
                <w:rFonts w:ascii="Times New Roman" w:hAnsi="Times New Roman"/>
                <w:bCs/>
                <w:color w:val="auto"/>
                <w:sz w:val="18"/>
                <w:szCs w:val="18"/>
                <w:highlight w:val="none"/>
              </w:rPr>
            </w:pPr>
            <w:r>
              <w:rPr>
                <w:rFonts w:hint="eastAsia" w:ascii="宋体" w:hAnsi="宋体"/>
                <w:bCs/>
                <w:color w:val="auto"/>
                <w:sz w:val="18"/>
                <w:szCs w:val="24"/>
                <w:highlight w:val="none"/>
              </w:rPr>
              <w:t>如是，请选择所在自主创新示范区名称</w:t>
            </w:r>
            <w:r>
              <w:rPr>
                <w:rFonts w:hint="eastAsia" w:ascii="宋体" w:hAnsi="宋体" w:cs="宋体"/>
                <w:bCs/>
                <w:color w:val="auto"/>
                <w:sz w:val="18"/>
                <w:szCs w:val="18"/>
                <w:highlight w:val="none"/>
              </w:rPr>
              <w:t>（</w:t>
            </w:r>
            <w:r>
              <w:rPr>
                <w:rFonts w:ascii="宋体" w:hAnsi="宋体" w:cs="宋体"/>
                <w:bCs/>
                <w:color w:val="auto"/>
                <w:sz w:val="18"/>
                <w:szCs w:val="18"/>
                <w:highlight w:val="none"/>
              </w:rPr>
              <w:t xml:space="preserve">QB22）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2" w:space="0"/>
              <w:right w:val="single" w:color="auto" w:sz="2" w:space="0"/>
            </w:tcBorders>
            <w:shd w:val="clear" w:color="auto" w:fill="D9D9D9"/>
            <w:noWrap w:val="0"/>
            <w:vAlign w:val="center"/>
          </w:tcPr>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QA12</w:t>
            </w:r>
          </w:p>
        </w:tc>
        <w:tc>
          <w:tcPr>
            <w:tcW w:w="8940" w:type="dxa"/>
            <w:gridSpan w:val="4"/>
            <w:tcBorders>
              <w:top w:val="single" w:color="auto" w:sz="4" w:space="0"/>
              <w:left w:val="single" w:color="auto" w:sz="2" w:space="0"/>
              <w:bottom w:val="single" w:color="auto" w:sz="2" w:space="0"/>
              <w:right w:val="nil"/>
            </w:tcBorders>
            <w:shd w:val="clear" w:color="auto" w:fill="D9D9D9"/>
            <w:noWrap w:val="0"/>
            <w:vAlign w:val="center"/>
          </w:tcPr>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填报时间□□□□-□□-□□（由系统自动生成）</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2" w:space="0"/>
              <w:left w:val="nil"/>
              <w:bottom w:val="single" w:color="auto" w:sz="4" w:space="0"/>
              <w:right w:val="single" w:color="auto" w:sz="2" w:space="0"/>
            </w:tcBorders>
            <w:noWrap w:val="0"/>
            <w:vAlign w:val="center"/>
          </w:tcPr>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QB101</w:t>
            </w:r>
          </w:p>
        </w:tc>
        <w:tc>
          <w:tcPr>
            <w:tcW w:w="8940" w:type="dxa"/>
            <w:gridSpan w:val="4"/>
            <w:tcBorders>
              <w:top w:val="single" w:color="auto" w:sz="2" w:space="0"/>
              <w:left w:val="single" w:color="auto" w:sz="2" w:space="0"/>
              <w:bottom w:val="single" w:color="auto" w:sz="4" w:space="0"/>
              <w:right w:val="nil"/>
            </w:tcBorders>
            <w:noWrap w:val="0"/>
            <w:vAlign w:val="center"/>
          </w:tcPr>
          <w:p>
            <w:pPr>
              <w:snapToGrid w:val="0"/>
              <w:spacing w:line="280" w:lineRule="exact"/>
              <w:jc w:val="left"/>
              <w:rPr>
                <w:rFonts w:hint="eastAsia" w:eastAsia="宋体"/>
                <w:bCs/>
                <w:color w:val="auto"/>
                <w:sz w:val="18"/>
                <w:szCs w:val="18"/>
                <w:highlight w:val="none"/>
                <w:lang w:eastAsia="zh-CN"/>
              </w:rPr>
            </w:pPr>
            <w:r>
              <w:rPr>
                <w:rFonts w:hint="eastAsia"/>
                <w:bCs/>
                <w:color w:val="auto"/>
                <w:sz w:val="18"/>
                <w:szCs w:val="18"/>
                <w:highlight w:val="none"/>
              </w:rPr>
              <w:t>企业隶属关系：□□</w:t>
            </w:r>
          </w:p>
          <w:p>
            <w:pPr>
              <w:spacing w:line="280" w:lineRule="exact"/>
              <w:rPr>
                <w:rFonts w:ascii="Times New Roman" w:hAnsi="Times New Roman"/>
                <w:bCs/>
                <w:color w:val="auto"/>
                <w:sz w:val="18"/>
                <w:szCs w:val="18"/>
                <w:highlight w:val="none"/>
              </w:rPr>
            </w:pPr>
            <w:r>
              <w:rPr>
                <w:rFonts w:hint="eastAsia"/>
                <w:bCs/>
                <w:color w:val="auto"/>
                <w:sz w:val="18"/>
                <w:szCs w:val="18"/>
                <w:highlight w:val="none"/>
              </w:rPr>
              <w:t>10 中央       11 地方       90 其他</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ind w:firstLine="0" w:firstLineChars="0"/>
              <w:rPr>
                <w:bCs/>
                <w:color w:val="auto"/>
                <w:sz w:val="18"/>
                <w:szCs w:val="18"/>
                <w:highlight w:val="none"/>
              </w:rPr>
            </w:pPr>
            <w:r>
              <w:rPr>
                <w:bCs/>
                <w:color w:val="auto"/>
                <w:sz w:val="18"/>
                <w:szCs w:val="18"/>
                <w:highlight w:val="none"/>
              </w:rPr>
              <w:t>QB03_0</w:t>
            </w:r>
          </w:p>
          <w:p>
            <w:pPr>
              <w:snapToGrid w:val="0"/>
              <w:spacing w:line="280" w:lineRule="exact"/>
              <w:rPr>
                <w:bCs/>
                <w:color w:val="auto"/>
                <w:sz w:val="18"/>
                <w:szCs w:val="18"/>
                <w:highlight w:val="none"/>
              </w:rPr>
            </w:pPr>
          </w:p>
          <w:p>
            <w:pPr>
              <w:snapToGrid w:val="0"/>
              <w:spacing w:line="280" w:lineRule="exact"/>
              <w:rPr>
                <w:bCs/>
                <w:color w:val="auto"/>
                <w:sz w:val="18"/>
                <w:szCs w:val="18"/>
                <w:highlight w:val="none"/>
              </w:rPr>
            </w:pPr>
          </w:p>
          <w:p>
            <w:pPr>
              <w:snapToGrid w:val="0"/>
              <w:spacing w:line="280" w:lineRule="exact"/>
              <w:rPr>
                <w:rFonts w:ascii="Times New Roman" w:hAnsi="Times New Roman"/>
                <w:bCs/>
                <w:color w:val="auto"/>
                <w:sz w:val="18"/>
                <w:szCs w:val="18"/>
                <w:highlight w:val="none"/>
              </w:rPr>
            </w:pPr>
            <w:r>
              <w:rPr>
                <w:bCs/>
                <w:color w:val="auto"/>
                <w:sz w:val="18"/>
                <w:szCs w:val="18"/>
                <w:highlight w:val="none"/>
              </w:rPr>
              <w:t>QB03_1</w:t>
            </w:r>
          </w:p>
        </w:tc>
        <w:tc>
          <w:tcPr>
            <w:tcW w:w="8940" w:type="dxa"/>
            <w:gridSpan w:val="4"/>
            <w:tcBorders>
              <w:top w:val="single" w:color="auto" w:sz="4" w:space="0"/>
              <w:left w:val="single" w:color="auto" w:sz="2" w:space="0"/>
              <w:bottom w:val="single" w:color="auto" w:sz="4" w:space="0"/>
              <w:right w:val="nil"/>
            </w:tcBorders>
            <w:noWrap w:val="0"/>
            <w:vAlign w:val="center"/>
          </w:tcPr>
          <w:p>
            <w:pPr>
              <w:spacing w:line="280" w:lineRule="exact"/>
              <w:rPr>
                <w:bCs/>
                <w:color w:val="auto"/>
                <w:sz w:val="18"/>
                <w:szCs w:val="18"/>
                <w:highlight w:val="none"/>
              </w:rPr>
            </w:pPr>
            <w:r>
              <w:rPr>
                <w:rFonts w:hint="eastAsia"/>
                <w:bCs/>
                <w:color w:val="auto"/>
                <w:sz w:val="18"/>
                <w:szCs w:val="18"/>
                <w:highlight w:val="none"/>
              </w:rPr>
              <w:t>行业类别和代码</w:t>
            </w:r>
          </w:p>
          <w:p>
            <w:pPr>
              <w:snapToGrid w:val="0"/>
              <w:spacing w:line="280" w:lineRule="exact"/>
              <w:rPr>
                <w:bCs/>
                <w:color w:val="auto"/>
                <w:sz w:val="18"/>
                <w:szCs w:val="18"/>
                <w:highlight w:val="none"/>
              </w:rPr>
            </w:pPr>
            <w:r>
              <w:rPr>
                <w:rFonts w:hint="eastAsia"/>
                <w:bCs/>
                <w:color w:val="auto"/>
                <w:sz w:val="18"/>
                <w:szCs w:val="18"/>
                <w:highlight w:val="none"/>
              </w:rPr>
              <w:t>主要业务活动或主要产品（QB03_0）（请选择最主要的三项填报）</w:t>
            </w:r>
          </w:p>
          <w:p>
            <w:pPr>
              <w:snapToGrid w:val="0"/>
              <w:spacing w:line="280" w:lineRule="exact"/>
              <w:rPr>
                <w:bCs/>
                <w:color w:val="auto"/>
                <w:sz w:val="18"/>
                <w:szCs w:val="18"/>
                <w:highlight w:val="none"/>
                <w:u w:val="single"/>
              </w:rPr>
            </w:pPr>
            <w:r>
              <w:rPr>
                <w:rFonts w:hint="eastAsia"/>
                <w:bCs/>
                <w:color w:val="auto"/>
                <w:sz w:val="18"/>
                <w:szCs w:val="18"/>
                <w:highlight w:val="none"/>
              </w:rPr>
              <w:t>1（QB03_01）    2（QB03_02）   3（QB03_03）</w:t>
            </w:r>
          </w:p>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行业代码（QB03_1）根据国民经济行业分类</w:t>
            </w:r>
            <w:r>
              <w:rPr>
                <w:rFonts w:hint="eastAsia" w:ascii="宋体" w:hAnsi="宋体" w:eastAsia="宋体"/>
                <w:bCs/>
                <w:color w:val="auto"/>
                <w:sz w:val="18"/>
                <w:szCs w:val="18"/>
                <w:highlight w:val="none"/>
              </w:rPr>
              <w:t>(</w:t>
            </w:r>
            <w:r>
              <w:rPr>
                <w:rFonts w:hint="eastAsia"/>
                <w:bCs/>
                <w:color w:val="auto"/>
                <w:sz w:val="18"/>
                <w:szCs w:val="18"/>
                <w:highlight w:val="none"/>
              </w:rPr>
              <w:t>GB/T</w:t>
            </w:r>
            <w:r>
              <w:rPr>
                <w:bCs/>
                <w:color w:val="auto"/>
                <w:sz w:val="18"/>
                <w:szCs w:val="18"/>
                <w:highlight w:val="none"/>
              </w:rPr>
              <w:t xml:space="preserve"> 4754-2017</w:t>
            </w:r>
            <w:r>
              <w:rPr>
                <w:rFonts w:ascii="宋体" w:hAnsi="宋体" w:eastAsia="宋体"/>
                <w:bCs/>
                <w:color w:val="auto"/>
                <w:sz w:val="18"/>
                <w:szCs w:val="18"/>
                <w:highlight w:val="none"/>
              </w:rPr>
              <w:t>)</w:t>
            </w:r>
            <w:r>
              <w:rPr>
                <w:bCs/>
                <w:color w:val="auto"/>
                <w:sz w:val="18"/>
                <w:szCs w:val="18"/>
                <w:highlight w:val="none"/>
              </w:rPr>
              <w:t xml:space="preserve"> </w:t>
            </w:r>
            <w:r>
              <w:rPr>
                <w:rFonts w:hint="eastAsia"/>
                <w:bCs/>
                <w:color w:val="auto"/>
                <w:sz w:val="18"/>
                <w:szCs w:val="18"/>
                <w:highlight w:val="none"/>
              </w:rPr>
              <w:t>进行划分□□□□</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QB20_1</w:t>
            </w:r>
          </w:p>
        </w:tc>
        <w:tc>
          <w:tcPr>
            <w:tcW w:w="8940" w:type="dxa"/>
            <w:gridSpan w:val="4"/>
            <w:tcBorders>
              <w:top w:val="single" w:color="auto" w:sz="4" w:space="0"/>
              <w:left w:val="single" w:color="auto" w:sz="2" w:space="0"/>
              <w:bottom w:val="single" w:color="auto" w:sz="4" w:space="0"/>
              <w:right w:val="nil"/>
            </w:tcBorders>
            <w:noWrap w:val="0"/>
            <w:vAlign w:val="center"/>
          </w:tcPr>
          <w:p>
            <w:pPr>
              <w:snapToGrid w:val="0"/>
              <w:spacing w:line="280" w:lineRule="exact"/>
              <w:rPr>
                <w:bCs/>
                <w:color w:val="auto"/>
                <w:sz w:val="18"/>
                <w:szCs w:val="18"/>
                <w:highlight w:val="none"/>
              </w:rPr>
            </w:pPr>
            <w:r>
              <w:rPr>
                <w:rFonts w:hint="eastAsia"/>
                <w:bCs/>
                <w:color w:val="auto"/>
                <w:sz w:val="18"/>
                <w:szCs w:val="18"/>
                <w:highlight w:val="none"/>
              </w:rPr>
              <w:t>执行会计标准类别</w:t>
            </w:r>
            <w:r>
              <w:rPr>
                <w:rFonts w:hint="eastAsia" w:ascii="宋体" w:hAnsi="宋体" w:eastAsia="宋体"/>
                <w:bCs/>
                <w:color w:val="auto"/>
                <w:sz w:val="18"/>
                <w:szCs w:val="18"/>
                <w:highlight w:val="none"/>
              </w:rPr>
              <w:t>(</w:t>
            </w:r>
            <w:r>
              <w:rPr>
                <w:bCs/>
                <w:color w:val="auto"/>
                <w:sz w:val="18"/>
                <w:szCs w:val="18"/>
                <w:highlight w:val="none"/>
              </w:rPr>
              <w:t>QB20_1</w:t>
            </w:r>
            <w:r>
              <w:rPr>
                <w:rFonts w:hint="eastAsia" w:ascii="宋体" w:hAnsi="宋体" w:eastAsia="宋体"/>
                <w:bCs/>
                <w:color w:val="auto"/>
                <w:sz w:val="18"/>
                <w:szCs w:val="18"/>
                <w:highlight w:val="none"/>
              </w:rPr>
              <w:t>)</w:t>
            </w:r>
            <w:r>
              <w:rPr>
                <w:rFonts w:hint="eastAsia"/>
                <w:bCs/>
                <w:color w:val="auto"/>
                <w:sz w:val="18"/>
                <w:szCs w:val="18"/>
                <w:highlight w:val="none"/>
              </w:rPr>
              <w:t>□</w:t>
            </w:r>
          </w:p>
          <w:p>
            <w:pPr>
              <w:snapToGrid w:val="0"/>
              <w:spacing w:line="280" w:lineRule="exact"/>
              <w:jc w:val="left"/>
              <w:rPr>
                <w:rFonts w:ascii="Times New Roman" w:hAnsi="Times New Roman"/>
                <w:bCs/>
                <w:color w:val="auto"/>
                <w:sz w:val="18"/>
                <w:szCs w:val="18"/>
                <w:highlight w:val="none"/>
              </w:rPr>
            </w:pPr>
            <w:r>
              <w:rPr>
                <w:bCs/>
                <w:color w:val="auto"/>
                <w:sz w:val="18"/>
                <w:szCs w:val="18"/>
                <w:highlight w:val="none"/>
              </w:rPr>
              <w:t xml:space="preserve">1 </w:t>
            </w:r>
            <w:r>
              <w:rPr>
                <w:rFonts w:hint="eastAsia"/>
                <w:bCs/>
                <w:color w:val="auto"/>
                <w:sz w:val="18"/>
                <w:szCs w:val="18"/>
                <w:highlight w:val="none"/>
              </w:rPr>
              <w:t>企业会计准则制度</w:t>
            </w:r>
            <w:r>
              <w:rPr>
                <w:bCs/>
                <w:color w:val="auto"/>
                <w:sz w:val="18"/>
                <w:szCs w:val="18"/>
                <w:highlight w:val="none"/>
              </w:rPr>
              <w:t xml:space="preserve">    2 </w:t>
            </w:r>
            <w:r>
              <w:rPr>
                <w:rFonts w:hint="eastAsia"/>
                <w:bCs/>
                <w:color w:val="auto"/>
                <w:sz w:val="18"/>
                <w:szCs w:val="18"/>
                <w:highlight w:val="none"/>
              </w:rPr>
              <w:t>政府会计准则制度</w:t>
            </w:r>
            <w:r>
              <w:rPr>
                <w:bCs/>
                <w:color w:val="auto"/>
                <w:sz w:val="18"/>
                <w:szCs w:val="18"/>
                <w:highlight w:val="none"/>
              </w:rPr>
              <w:t xml:space="preserve">    4 </w:t>
            </w:r>
            <w:r>
              <w:rPr>
                <w:rFonts w:hint="eastAsia"/>
                <w:bCs/>
                <w:color w:val="auto"/>
                <w:sz w:val="18"/>
                <w:szCs w:val="18"/>
                <w:highlight w:val="none"/>
              </w:rPr>
              <w:t>民间非营利组织会计制度</w:t>
            </w:r>
            <w:r>
              <w:rPr>
                <w:bCs/>
                <w:color w:val="auto"/>
                <w:sz w:val="18"/>
                <w:szCs w:val="18"/>
                <w:highlight w:val="none"/>
              </w:rPr>
              <w:t xml:space="preserve">    9 </w:t>
            </w:r>
            <w:r>
              <w:rPr>
                <w:rFonts w:hint="eastAsia"/>
                <w:bCs/>
                <w:color w:val="auto"/>
                <w:sz w:val="18"/>
                <w:szCs w:val="18"/>
                <w:highlight w:val="none"/>
              </w:rPr>
              <w:t>其他</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8" w:space="0"/>
              <w:right w:val="single" w:color="auto" w:sz="2" w:space="0"/>
            </w:tcBorders>
            <w:noWrap w:val="0"/>
            <w:vAlign w:val="center"/>
          </w:tcPr>
          <w:p>
            <w:pPr>
              <w:snapToGrid w:val="0"/>
              <w:spacing w:line="280" w:lineRule="exact"/>
              <w:jc w:val="center"/>
              <w:rPr>
                <w:bCs/>
                <w:color w:val="auto"/>
                <w:sz w:val="18"/>
                <w:szCs w:val="18"/>
                <w:highlight w:val="none"/>
              </w:rPr>
            </w:pPr>
            <w:r>
              <w:rPr>
                <w:bCs/>
                <w:color w:val="auto"/>
                <w:sz w:val="18"/>
                <w:szCs w:val="18"/>
                <w:highlight w:val="none"/>
              </w:rPr>
              <w:t>QB20</w:t>
            </w:r>
          </w:p>
        </w:tc>
        <w:tc>
          <w:tcPr>
            <w:tcW w:w="8940" w:type="dxa"/>
            <w:gridSpan w:val="4"/>
            <w:tcBorders>
              <w:top w:val="single" w:color="auto" w:sz="4" w:space="0"/>
              <w:left w:val="single" w:color="auto" w:sz="2" w:space="0"/>
              <w:bottom w:val="single" w:color="auto" w:sz="8" w:space="0"/>
              <w:right w:val="nil"/>
            </w:tcBorders>
            <w:noWrap w:val="0"/>
            <w:vAlign w:val="center"/>
          </w:tcPr>
          <w:p>
            <w:pPr>
              <w:snapToGrid w:val="0"/>
              <w:spacing w:line="280" w:lineRule="exact"/>
              <w:rPr>
                <w:bCs/>
                <w:color w:val="auto"/>
                <w:sz w:val="18"/>
                <w:szCs w:val="18"/>
                <w:highlight w:val="none"/>
              </w:rPr>
            </w:pPr>
            <w:r>
              <w:rPr>
                <w:rFonts w:hint="eastAsia"/>
                <w:bCs/>
                <w:color w:val="auto"/>
                <w:sz w:val="18"/>
                <w:szCs w:val="18"/>
                <w:highlight w:val="none"/>
              </w:rPr>
              <w:t>执行企业会计准则情况□</w:t>
            </w:r>
          </w:p>
          <w:p>
            <w:pPr>
              <w:numPr>
                <w:ilvl w:val="0"/>
                <w:numId w:val="0"/>
              </w:numPr>
              <w:snapToGrid w:val="0"/>
              <w:spacing w:line="280" w:lineRule="exact"/>
              <w:ind w:left="0" w:leftChars="0" w:firstLine="0" w:firstLineChars="0"/>
              <w:rPr>
                <w:bCs/>
                <w:color w:val="auto"/>
                <w:sz w:val="18"/>
                <w:szCs w:val="18"/>
                <w:highlight w:val="none"/>
              </w:rPr>
            </w:pPr>
            <w:r>
              <w:rPr>
                <w:rFonts w:hint="eastAsia"/>
                <w:bCs/>
                <w:color w:val="auto"/>
                <w:sz w:val="18"/>
                <w:szCs w:val="18"/>
                <w:highlight w:val="none"/>
                <w:lang w:val="en-US" w:eastAsia="zh-CN"/>
              </w:rPr>
              <w:t xml:space="preserve">1 </w:t>
            </w:r>
            <w:r>
              <w:rPr>
                <w:rFonts w:hint="eastAsia"/>
                <w:bCs/>
                <w:color w:val="auto"/>
                <w:sz w:val="18"/>
                <w:szCs w:val="18"/>
                <w:highlight w:val="none"/>
              </w:rPr>
              <w:t xml:space="preserve">执行《企业会计准则》    </w:t>
            </w:r>
            <w:r>
              <w:rPr>
                <w:rFonts w:hint="eastAsia"/>
                <w:bCs/>
                <w:color w:val="auto"/>
                <w:sz w:val="18"/>
                <w:szCs w:val="18"/>
                <w:highlight w:val="none"/>
                <w:lang w:eastAsia="zh-CN"/>
              </w:rPr>
              <w:t>2</w:t>
            </w:r>
            <w:r>
              <w:rPr>
                <w:rFonts w:hint="eastAsia"/>
                <w:bCs/>
                <w:color w:val="auto"/>
                <w:sz w:val="18"/>
                <w:szCs w:val="18"/>
                <w:highlight w:val="none"/>
                <w:lang w:val="en-US" w:eastAsia="zh-CN"/>
              </w:rPr>
              <w:t xml:space="preserve"> </w:t>
            </w:r>
            <w:r>
              <w:rPr>
                <w:rFonts w:hint="eastAsia"/>
                <w:bCs/>
                <w:color w:val="auto"/>
                <w:sz w:val="18"/>
                <w:szCs w:val="18"/>
                <w:highlight w:val="none"/>
              </w:rPr>
              <w:t xml:space="preserve">执行《小企业会计准则》 </w:t>
            </w:r>
            <w:r>
              <w:rPr>
                <w:rFonts w:hint="eastAsia"/>
                <w:bCs/>
                <w:color w:val="auto"/>
                <w:sz w:val="18"/>
                <w:szCs w:val="18"/>
                <w:highlight w:val="none"/>
                <w:lang w:val="en-US" w:eastAsia="zh-CN"/>
              </w:rPr>
              <w:t xml:space="preserve">   </w:t>
            </w:r>
            <w:r>
              <w:rPr>
                <w:rFonts w:hint="eastAsia" w:ascii="Nimbus Roman No9 L" w:hAnsi="Nimbus Roman No9 L" w:cs="Nimbus Roman No9 L"/>
                <w:color w:val="auto"/>
                <w:sz w:val="18"/>
                <w:szCs w:val="18"/>
                <w:highlight w:val="none"/>
              </w:rPr>
              <w:t>3</w:t>
            </w:r>
            <w:r>
              <w:rPr>
                <w:rFonts w:ascii="Nimbus Roman No9 L" w:hAnsi="Nimbus Roman No9 L" w:cs="Nimbus Roman No9 L"/>
                <w:color w:val="auto"/>
                <w:sz w:val="18"/>
                <w:szCs w:val="18"/>
                <w:highlight w:val="none"/>
              </w:rPr>
              <w:t xml:space="preserve"> </w:t>
            </w:r>
            <w:r>
              <w:rPr>
                <w:rFonts w:hint="eastAsia" w:ascii="Nimbus Roman No9 L" w:hAnsi="Nimbus Roman No9 L" w:cs="Nimbus Roman No9 L"/>
                <w:color w:val="auto"/>
                <w:sz w:val="18"/>
                <w:szCs w:val="18"/>
                <w:highlight w:val="none"/>
              </w:rPr>
              <w:t>执行《企业会计制度》</w:t>
            </w:r>
          </w:p>
        </w:tc>
      </w:tr>
    </w:tbl>
    <w:p>
      <w:pPr>
        <w:rPr>
          <w:color w:val="auto"/>
          <w:highlight w:val="none"/>
        </w:rPr>
      </w:pPr>
    </w:p>
    <w:p>
      <w:pPr>
        <w:snapToGrid w:val="0"/>
        <w:spacing w:line="240" w:lineRule="exact"/>
        <w:rPr>
          <w:rFonts w:hint="eastAsia" w:ascii="Times New Roman" w:hAnsi="Times New Roman" w:eastAsia="宋体" w:cs="Times New Roman"/>
          <w:bCs/>
          <w:color w:val="auto"/>
          <w:sz w:val="18"/>
          <w:szCs w:val="18"/>
          <w:highlight w:val="none"/>
          <w:lang w:eastAsia="zh-CN"/>
        </w:rPr>
      </w:pPr>
      <w:r>
        <w:rPr>
          <w:rFonts w:hint="eastAsia" w:ascii="Times New Roman" w:hAnsi="Times New Roman" w:eastAsia="宋体" w:cs="Times New Roman"/>
          <w:bCs/>
          <w:color w:val="auto"/>
          <w:sz w:val="18"/>
          <w:szCs w:val="18"/>
          <w:highlight w:val="none"/>
          <w:lang w:eastAsia="zh-CN"/>
        </w:rPr>
        <w:t>续表一：</w:t>
      </w:r>
    </w:p>
    <w:tbl>
      <w:tblPr>
        <w:tblStyle w:val="9"/>
        <w:tblW w:w="9855"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881"/>
        <w:gridCol w:w="8974"/>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000000" w:sz="8" w:space="0"/>
              <w:left w:val="nil"/>
              <w:bottom w:val="single" w:color="000000" w:sz="4" w:space="0"/>
              <w:right w:val="single" w:color="auto" w:sz="2" w:space="0"/>
            </w:tcBorders>
            <w:shd w:val="clear" w:color="auto" w:fill="D9D9D9"/>
            <w:noWrap w:val="0"/>
            <w:vAlign w:val="center"/>
          </w:tcPr>
          <w:p>
            <w:pPr>
              <w:snapToGrid w:val="0"/>
              <w:spacing w:line="280" w:lineRule="exact"/>
              <w:jc w:val="center"/>
              <w:rPr>
                <w:bCs/>
                <w:color w:val="auto"/>
                <w:sz w:val="18"/>
                <w:szCs w:val="18"/>
                <w:highlight w:val="none"/>
              </w:rPr>
            </w:pPr>
            <w:r>
              <w:rPr>
                <w:bCs/>
                <w:color w:val="auto"/>
                <w:sz w:val="18"/>
                <w:szCs w:val="18"/>
                <w:highlight w:val="none"/>
              </w:rPr>
              <w:t>QB04</w:t>
            </w:r>
          </w:p>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QB04_0</w:t>
            </w:r>
          </w:p>
        </w:tc>
        <w:tc>
          <w:tcPr>
            <w:tcW w:w="8974" w:type="dxa"/>
            <w:tcBorders>
              <w:top w:val="single" w:color="000000" w:sz="8" w:space="0"/>
              <w:left w:val="single" w:color="auto" w:sz="2" w:space="0"/>
              <w:bottom w:val="single" w:color="000000" w:sz="4" w:space="0"/>
              <w:right w:val="nil"/>
            </w:tcBorders>
            <w:shd w:val="clear" w:color="auto" w:fill="D9D9D9"/>
            <w:noWrap w:val="0"/>
            <w:vAlign w:val="center"/>
          </w:tcPr>
          <w:p>
            <w:pPr>
              <w:snapToGrid w:val="0"/>
              <w:spacing w:line="280" w:lineRule="exact"/>
              <w:jc w:val="left"/>
              <w:rPr>
                <w:rFonts w:ascii="宋体" w:hAnsi="宋体"/>
                <w:bCs/>
                <w:color w:val="auto"/>
                <w:sz w:val="18"/>
                <w:szCs w:val="18"/>
                <w:highlight w:val="none"/>
                <w:u w:val="single"/>
              </w:rPr>
            </w:pPr>
            <w:r>
              <w:rPr>
                <w:rFonts w:hint="eastAsia" w:ascii="宋体" w:hAnsi="宋体"/>
                <w:bCs/>
                <w:color w:val="auto"/>
                <w:sz w:val="18"/>
                <w:szCs w:val="18"/>
                <w:highlight w:val="none"/>
              </w:rPr>
              <w:t>企业注册时间（</w:t>
            </w:r>
            <w:r>
              <w:rPr>
                <w:rFonts w:ascii="Calibri" w:hAnsi="Calibri"/>
                <w:bCs/>
                <w:color w:val="auto"/>
                <w:sz w:val="18"/>
                <w:szCs w:val="18"/>
                <w:highlight w:val="none"/>
              </w:rPr>
              <w:t>QB04</w:t>
            </w:r>
            <w:r>
              <w:rPr>
                <w:rFonts w:ascii="宋体" w:hAnsi="宋体"/>
                <w:bCs/>
                <w:color w:val="auto"/>
                <w:sz w:val="18"/>
                <w:szCs w:val="18"/>
                <w:highlight w:val="none"/>
              </w:rPr>
              <w:t xml:space="preserve">）：  </w:t>
            </w:r>
            <w:r>
              <w:rPr>
                <w:rFonts w:hint="eastAsia" w:ascii="宋体" w:hAnsi="宋体" w:cs="宋体"/>
                <w:bCs/>
                <w:color w:val="auto"/>
                <w:sz w:val="18"/>
                <w:szCs w:val="18"/>
                <w:highlight w:val="none"/>
              </w:rPr>
              <w:t>□□□□</w:t>
            </w:r>
            <w:r>
              <w:rPr>
                <w:rFonts w:hint="eastAsia" w:ascii="宋体" w:hAnsi="宋体"/>
                <w:bCs/>
                <w:color w:val="auto"/>
                <w:sz w:val="18"/>
                <w:szCs w:val="18"/>
                <w:highlight w:val="none"/>
              </w:rPr>
              <w:t>年</w:t>
            </w:r>
          </w:p>
          <w:p>
            <w:pPr>
              <w:snapToGrid w:val="0"/>
              <w:spacing w:line="280" w:lineRule="exact"/>
              <w:rPr>
                <w:rFonts w:ascii="Times New Roman" w:hAnsi="Times New Roman"/>
                <w:bCs/>
                <w:color w:val="auto"/>
                <w:sz w:val="18"/>
                <w:szCs w:val="18"/>
                <w:highlight w:val="none"/>
              </w:rPr>
            </w:pPr>
            <w:r>
              <w:rPr>
                <w:rFonts w:hint="eastAsia" w:ascii="宋体" w:hAnsi="宋体" w:cs="宋体"/>
                <w:bCs/>
                <w:color w:val="auto"/>
                <w:sz w:val="18"/>
                <w:szCs w:val="18"/>
                <w:highlight w:val="none"/>
              </w:rPr>
              <w:t>注册资金（</w:t>
            </w:r>
            <w:r>
              <w:rPr>
                <w:rFonts w:ascii="Calibri" w:hAnsi="Calibri" w:cs="宋体"/>
                <w:bCs/>
                <w:color w:val="auto"/>
                <w:sz w:val="18"/>
                <w:szCs w:val="18"/>
                <w:highlight w:val="none"/>
              </w:rPr>
              <w:t>QB04_0</w:t>
            </w:r>
            <w:r>
              <w:rPr>
                <w:rFonts w:ascii="宋体" w:hAnsi="宋体" w:cs="宋体"/>
                <w:bCs/>
                <w:color w:val="auto"/>
                <w:sz w:val="18"/>
                <w:szCs w:val="18"/>
                <w:highlight w:val="none"/>
              </w:rPr>
              <w:t>）</w:t>
            </w:r>
            <w:r>
              <w:rPr>
                <w:rFonts w:hint="eastAsia" w:ascii="宋体" w:hAnsi="宋体" w:cs="宋体"/>
                <w:bCs/>
                <w:color w:val="auto"/>
                <w:sz w:val="18"/>
                <w:szCs w:val="18"/>
                <w:highlight w:val="none"/>
              </w:rPr>
              <w:t>千元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000000" w:sz="4" w:space="0"/>
              <w:left w:val="nil"/>
              <w:bottom w:val="single" w:color="auto" w:sz="4" w:space="0"/>
              <w:right w:val="single" w:color="auto" w:sz="2" w:space="0"/>
            </w:tcBorders>
            <w:noWrap w:val="0"/>
            <w:vAlign w:val="center"/>
          </w:tcPr>
          <w:p>
            <w:pPr>
              <w:snapToGrid w:val="0"/>
              <w:spacing w:line="280" w:lineRule="exact"/>
              <w:jc w:val="center"/>
              <w:rPr>
                <w:rFonts w:hint="default" w:ascii="Times New Roman" w:hAnsi="Times New Roman" w:eastAsia="宋体"/>
                <w:bCs/>
                <w:color w:val="auto"/>
                <w:sz w:val="18"/>
                <w:szCs w:val="18"/>
                <w:highlight w:val="none"/>
                <w:lang w:val="en-US" w:eastAsia="zh-CN"/>
              </w:rPr>
            </w:pPr>
            <w:r>
              <w:rPr>
                <w:bCs/>
                <w:color w:val="auto"/>
                <w:sz w:val="18"/>
                <w:szCs w:val="18"/>
                <w:highlight w:val="none"/>
              </w:rPr>
              <w:t>QB</w:t>
            </w:r>
            <w:r>
              <w:rPr>
                <w:rFonts w:hint="eastAsia"/>
                <w:bCs/>
                <w:color w:val="auto"/>
                <w:sz w:val="18"/>
                <w:szCs w:val="18"/>
                <w:highlight w:val="none"/>
                <w:lang w:val="en-US" w:eastAsia="zh-CN"/>
              </w:rPr>
              <w:t>06</w:t>
            </w:r>
          </w:p>
        </w:tc>
        <w:tc>
          <w:tcPr>
            <w:tcW w:w="8974" w:type="dxa"/>
            <w:tcBorders>
              <w:top w:val="single" w:color="000000" w:sz="4" w:space="0"/>
              <w:left w:val="single" w:color="auto" w:sz="2" w:space="0"/>
              <w:bottom w:val="single" w:color="auto" w:sz="4" w:space="0"/>
              <w:right w:val="nil"/>
            </w:tcBorders>
            <w:noWrap w:val="0"/>
            <w:vAlign w:val="center"/>
          </w:tcPr>
          <w:p>
            <w:pPr>
              <w:widowControl/>
              <w:snapToGrid w:val="0"/>
              <w:spacing w:line="280" w:lineRule="exact"/>
              <w:rPr>
                <w:bCs/>
                <w:color w:val="auto"/>
                <w:sz w:val="18"/>
                <w:szCs w:val="18"/>
                <w:highlight w:val="none"/>
              </w:rPr>
            </w:pPr>
            <w:r>
              <w:rPr>
                <w:rFonts w:hint="eastAsia"/>
                <w:bCs/>
                <w:color w:val="auto"/>
                <w:sz w:val="18"/>
                <w:szCs w:val="18"/>
                <w:highlight w:val="none"/>
              </w:rPr>
              <w:t>登记注册</w:t>
            </w:r>
            <w:r>
              <w:rPr>
                <w:rFonts w:hint="eastAsia"/>
                <w:bCs/>
                <w:color w:val="auto"/>
                <w:sz w:val="18"/>
                <w:szCs w:val="18"/>
                <w:highlight w:val="none"/>
                <w:lang w:eastAsia="zh-CN"/>
              </w:rPr>
              <w:t>统计类别</w:t>
            </w:r>
            <w:r>
              <w:rPr>
                <w:rFonts w:hint="eastAsia"/>
                <w:bCs/>
                <w:color w:val="auto"/>
                <w:sz w:val="18"/>
                <w:szCs w:val="18"/>
                <w:highlight w:val="none"/>
              </w:rPr>
              <w:t>（QB</w:t>
            </w:r>
            <w:r>
              <w:rPr>
                <w:rFonts w:hint="eastAsia"/>
                <w:bCs/>
                <w:color w:val="auto"/>
                <w:sz w:val="18"/>
                <w:szCs w:val="18"/>
                <w:highlight w:val="none"/>
                <w:lang w:val="en-US" w:eastAsia="zh-CN"/>
              </w:rPr>
              <w:t>06</w:t>
            </w:r>
            <w:r>
              <w:rPr>
                <w:rFonts w:hint="eastAsia"/>
                <w:bCs/>
                <w:color w:val="auto"/>
                <w:sz w:val="18"/>
                <w:szCs w:val="18"/>
                <w:highlight w:val="none"/>
              </w:rPr>
              <w:t>）□□□</w:t>
            </w:r>
          </w:p>
          <w:p>
            <w:pPr>
              <w:tabs>
                <w:tab w:val="left" w:pos="630"/>
              </w:tabs>
              <w:spacing w:line="280" w:lineRule="exact"/>
              <w:rPr>
                <w:rFonts w:ascii="宋体" w:hAnsi="宋体" w:cs="Nimbus Roman No9 L"/>
                <w:color w:val="auto"/>
                <w:sz w:val="18"/>
                <w:szCs w:val="18"/>
                <w:highlight w:val="none"/>
              </w:rPr>
            </w:pPr>
            <w:r>
              <w:rPr>
                <w:rFonts w:ascii="宋体" w:hAnsi="宋体" w:cs="Nimbus Roman No9 L"/>
                <w:b/>
                <w:bCs/>
                <w:color w:val="auto"/>
                <w:sz w:val="18"/>
                <w:szCs w:val="18"/>
                <w:highlight w:val="none"/>
              </w:rPr>
              <w:t>内资企业</w:t>
            </w:r>
          </w:p>
          <w:p>
            <w:pPr>
              <w:tabs>
                <w:tab w:val="left" w:pos="630"/>
              </w:tabs>
              <w:spacing w:line="280" w:lineRule="exact"/>
              <w:ind w:firstLine="180" w:firstLineChars="100"/>
              <w:rPr>
                <w:rFonts w:ascii="宋体" w:hAnsi="宋体" w:cs="Nimbus Roman No9 L"/>
                <w:color w:val="auto"/>
                <w:sz w:val="18"/>
                <w:szCs w:val="18"/>
                <w:highlight w:val="none"/>
                <w:lang w:val="en"/>
              </w:rPr>
            </w:pPr>
            <w:r>
              <w:rPr>
                <w:rFonts w:ascii="宋体" w:hAnsi="宋体" w:cs="Nimbus Roman No9 L"/>
                <w:color w:val="auto"/>
                <w:sz w:val="18"/>
                <w:szCs w:val="18"/>
                <w:highlight w:val="none"/>
                <w:lang w:val="en"/>
              </w:rPr>
              <w:t xml:space="preserve">111 国有独资公司 </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lang w:val="en"/>
              </w:rPr>
              <w:t xml:space="preserve">112 私营有限责任公司 </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lang w:val="en"/>
              </w:rPr>
              <w:t>119 其他有限责任公司</w:t>
            </w:r>
          </w:p>
          <w:p>
            <w:pPr>
              <w:tabs>
                <w:tab w:val="left" w:pos="630"/>
              </w:tabs>
              <w:spacing w:line="280" w:lineRule="exact"/>
              <w:ind w:firstLine="180" w:firstLineChars="100"/>
              <w:rPr>
                <w:rFonts w:ascii="宋体" w:hAnsi="宋体" w:cs="Nimbus Roman No9 L"/>
                <w:color w:val="auto"/>
                <w:sz w:val="18"/>
                <w:szCs w:val="18"/>
                <w:highlight w:val="none"/>
              </w:rPr>
            </w:pPr>
            <w:r>
              <w:rPr>
                <w:rFonts w:ascii="宋体" w:hAnsi="宋体" w:cs="Nimbus Roman No9 L"/>
                <w:color w:val="auto"/>
                <w:sz w:val="18"/>
                <w:szCs w:val="18"/>
                <w:highlight w:val="none"/>
              </w:rPr>
              <w:t>121 私营股份有限公司 129 其他股份有限公司</w:t>
            </w:r>
          </w:p>
          <w:p>
            <w:pPr>
              <w:tabs>
                <w:tab w:val="left" w:pos="630"/>
              </w:tabs>
              <w:spacing w:line="280" w:lineRule="exact"/>
              <w:ind w:firstLine="180" w:firstLineChars="100"/>
              <w:rPr>
                <w:rFonts w:hint="eastAsia" w:ascii="宋体" w:hAnsi="宋体" w:cs="Nimbus Roman No9 L"/>
                <w:color w:val="auto"/>
                <w:sz w:val="18"/>
                <w:szCs w:val="18"/>
                <w:highlight w:val="none"/>
              </w:rPr>
            </w:pPr>
            <w:r>
              <w:rPr>
                <w:rFonts w:ascii="宋体" w:hAnsi="宋体" w:cs="Nimbus Roman No9 L"/>
                <w:color w:val="auto"/>
                <w:sz w:val="18"/>
                <w:szCs w:val="18"/>
                <w:highlight w:val="none"/>
              </w:rPr>
              <w:t>131 全民所有制企业（国有企业）</w:t>
            </w:r>
            <w:r>
              <w:rPr>
                <w:rFonts w:hint="eastAsia" w:ascii="宋体" w:hAnsi="宋体" w:cs="Nimbus Roman No9 L"/>
                <w:color w:val="auto"/>
                <w:sz w:val="18"/>
                <w:szCs w:val="18"/>
                <w:highlight w:val="none"/>
              </w:rPr>
              <w:t xml:space="preserve">     132 集体所有制企业（集体企业） 133 股份合作企业 134 联营企业</w:t>
            </w:r>
          </w:p>
          <w:p>
            <w:pPr>
              <w:tabs>
                <w:tab w:val="left" w:pos="630"/>
              </w:tabs>
              <w:spacing w:line="280" w:lineRule="exact"/>
              <w:ind w:firstLine="180" w:firstLineChars="100"/>
              <w:rPr>
                <w:rFonts w:ascii="宋体" w:hAnsi="宋体" w:cs="Nimbus Roman No9 L"/>
                <w:color w:val="auto"/>
                <w:sz w:val="18"/>
                <w:szCs w:val="18"/>
                <w:highlight w:val="none"/>
                <w:lang w:val="en"/>
              </w:rPr>
            </w:pPr>
            <w:r>
              <w:rPr>
                <w:rFonts w:ascii="宋体" w:hAnsi="宋体" w:cs="Nimbus Roman No9 L"/>
                <w:color w:val="auto"/>
                <w:sz w:val="18"/>
                <w:szCs w:val="18"/>
                <w:highlight w:val="none"/>
              </w:rPr>
              <w:t>140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个人独资企业</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150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合伙企业</w:t>
            </w:r>
            <w:r>
              <w:rPr>
                <w:rFonts w:ascii="宋体" w:hAnsi="宋体" w:cs="Nimbus Roman No9 L"/>
                <w:color w:val="auto"/>
                <w:sz w:val="18"/>
                <w:szCs w:val="18"/>
                <w:highlight w:val="none"/>
                <w:lang w:val="en"/>
              </w:rPr>
              <w:t xml:space="preserve"> </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rPr>
              <w:t>190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其他内资企业</w:t>
            </w:r>
          </w:p>
          <w:p>
            <w:pPr>
              <w:tabs>
                <w:tab w:val="left" w:pos="630"/>
              </w:tabs>
              <w:spacing w:line="280" w:lineRule="exact"/>
              <w:rPr>
                <w:rFonts w:ascii="宋体" w:hAnsi="宋体" w:cs="Nimbus Roman No9 L"/>
                <w:color w:val="auto"/>
                <w:sz w:val="18"/>
                <w:szCs w:val="18"/>
                <w:highlight w:val="none"/>
                <w:lang w:val="en"/>
              </w:rPr>
            </w:pPr>
            <w:r>
              <w:rPr>
                <w:rFonts w:ascii="宋体" w:hAnsi="宋体" w:cs="Nimbus Roman No9 L"/>
                <w:b/>
                <w:bCs/>
                <w:color w:val="auto"/>
                <w:sz w:val="18"/>
                <w:szCs w:val="18"/>
                <w:highlight w:val="none"/>
              </w:rPr>
              <w:t>港澳台</w:t>
            </w:r>
            <w:r>
              <w:rPr>
                <w:rFonts w:hint="eastAsia" w:ascii="宋体" w:hAnsi="宋体" w:cs="Nimbus Roman No9 L"/>
                <w:b/>
                <w:bCs/>
                <w:color w:val="auto"/>
                <w:sz w:val="18"/>
                <w:szCs w:val="18"/>
                <w:highlight w:val="none"/>
                <w:lang w:eastAsia="zh-CN"/>
              </w:rPr>
              <w:t>商</w:t>
            </w:r>
            <w:r>
              <w:rPr>
                <w:rFonts w:ascii="宋体" w:hAnsi="宋体" w:cs="Nimbus Roman No9 L"/>
                <w:b/>
                <w:bCs/>
                <w:color w:val="auto"/>
                <w:sz w:val="18"/>
                <w:szCs w:val="18"/>
                <w:highlight w:val="none"/>
              </w:rPr>
              <w:t>投资企业</w:t>
            </w:r>
          </w:p>
          <w:p>
            <w:pPr>
              <w:tabs>
                <w:tab w:val="left" w:pos="630"/>
              </w:tabs>
              <w:spacing w:line="280" w:lineRule="exact"/>
              <w:ind w:firstLine="180" w:firstLineChars="100"/>
              <w:rPr>
                <w:rFonts w:ascii="宋体" w:hAnsi="宋体" w:cs="Nimbus Roman No9 L"/>
                <w:color w:val="auto"/>
                <w:sz w:val="18"/>
                <w:szCs w:val="18"/>
                <w:highlight w:val="none"/>
              </w:rPr>
            </w:pPr>
            <w:r>
              <w:rPr>
                <w:rFonts w:ascii="宋体" w:hAnsi="宋体" w:cs="Nimbus Roman No9 L"/>
                <w:color w:val="auto"/>
                <w:sz w:val="18"/>
                <w:szCs w:val="18"/>
                <w:highlight w:val="none"/>
              </w:rPr>
              <w:t>210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港澳台投资有限责任公司</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rPr>
              <w:t>220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港澳台投资股份有限公司</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rPr>
              <w:t>230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港澳台投资合伙企业</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rPr>
              <w:t>290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其他港澳台投资企业</w:t>
            </w:r>
          </w:p>
          <w:p>
            <w:pPr>
              <w:tabs>
                <w:tab w:val="left" w:pos="630"/>
              </w:tabs>
              <w:spacing w:line="280" w:lineRule="exact"/>
              <w:rPr>
                <w:rFonts w:ascii="宋体" w:hAnsi="宋体" w:cs="Nimbus Roman No9 L"/>
                <w:color w:val="auto"/>
                <w:sz w:val="18"/>
                <w:szCs w:val="18"/>
                <w:highlight w:val="none"/>
              </w:rPr>
            </w:pPr>
            <w:r>
              <w:rPr>
                <w:rFonts w:ascii="宋体" w:hAnsi="宋体" w:cs="Nimbus Roman No9 L"/>
                <w:b/>
                <w:bCs/>
                <w:color w:val="auto"/>
                <w:sz w:val="18"/>
                <w:szCs w:val="18"/>
                <w:highlight w:val="none"/>
              </w:rPr>
              <w:t>外商投资企业</w:t>
            </w:r>
          </w:p>
          <w:p>
            <w:pPr>
              <w:tabs>
                <w:tab w:val="left" w:pos="630"/>
              </w:tabs>
              <w:spacing w:line="280" w:lineRule="exact"/>
              <w:ind w:firstLine="180" w:firstLineChars="100"/>
              <w:rPr>
                <w:rFonts w:ascii="宋体" w:hAnsi="宋体" w:cs="Nimbus Roman No9 L"/>
                <w:color w:val="auto"/>
                <w:sz w:val="18"/>
                <w:szCs w:val="18"/>
                <w:highlight w:val="none"/>
              </w:rPr>
            </w:pPr>
            <w:r>
              <w:rPr>
                <w:rFonts w:ascii="宋体" w:hAnsi="宋体" w:cs="Nimbus Roman No9 L"/>
                <w:color w:val="auto"/>
                <w:sz w:val="18"/>
                <w:szCs w:val="18"/>
                <w:highlight w:val="none"/>
              </w:rPr>
              <w:t>310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外商投资有限责任公司</w:t>
            </w:r>
            <w:r>
              <w:rPr>
                <w:rFonts w:ascii="宋体" w:hAnsi="宋体" w:cs="Nimbus Roman No9 L"/>
                <w:color w:val="auto"/>
                <w:sz w:val="18"/>
                <w:szCs w:val="18"/>
                <w:highlight w:val="none"/>
                <w:lang w:val="en"/>
              </w:rPr>
              <w:t xml:space="preserve"> </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rPr>
              <w:t>320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外商投资股份有限公司</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rPr>
              <w:t>330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外商投资合伙企业</w:t>
            </w:r>
            <w:r>
              <w:rPr>
                <w:rFonts w:ascii="宋体" w:hAnsi="宋体" w:cs="Nimbus Roman No9 L"/>
                <w:color w:val="auto"/>
                <w:sz w:val="18"/>
                <w:szCs w:val="18"/>
                <w:highlight w:val="none"/>
                <w:lang w:val="en"/>
              </w:rPr>
              <w:t xml:space="preserve"> </w:t>
            </w:r>
            <w:r>
              <w:rPr>
                <w:rFonts w:hint="eastAsia" w:ascii="宋体" w:hAnsi="宋体" w:cs="Nimbus Roman No9 L"/>
                <w:color w:val="auto"/>
                <w:sz w:val="18"/>
                <w:szCs w:val="18"/>
                <w:highlight w:val="none"/>
              </w:rPr>
              <w:t xml:space="preserve">  </w:t>
            </w:r>
            <w:r>
              <w:rPr>
                <w:rFonts w:ascii="宋体" w:hAnsi="宋体" w:cs="Nimbus Roman No9 L"/>
                <w:color w:val="auto"/>
                <w:sz w:val="18"/>
                <w:szCs w:val="18"/>
                <w:highlight w:val="none"/>
              </w:rPr>
              <w:t>390</w:t>
            </w:r>
            <w:r>
              <w:rPr>
                <w:rFonts w:ascii="宋体" w:hAnsi="宋体" w:cs="Nimbus Roman No9 L"/>
                <w:color w:val="auto"/>
                <w:sz w:val="18"/>
                <w:szCs w:val="18"/>
                <w:highlight w:val="none"/>
                <w:lang w:val="en"/>
              </w:rPr>
              <w:t xml:space="preserve"> </w:t>
            </w:r>
            <w:r>
              <w:rPr>
                <w:rFonts w:ascii="宋体" w:hAnsi="宋体" w:cs="Nimbus Roman No9 L"/>
                <w:color w:val="auto"/>
                <w:sz w:val="18"/>
                <w:szCs w:val="18"/>
                <w:highlight w:val="none"/>
              </w:rPr>
              <w:t>其他外商投资企业</w:t>
            </w:r>
          </w:p>
          <w:p>
            <w:pPr>
              <w:snapToGrid w:val="0"/>
              <w:spacing w:line="280" w:lineRule="exact"/>
              <w:ind w:firstLine="180" w:firstLineChars="100"/>
              <w:rPr>
                <w:rFonts w:ascii="Times New Roman" w:hAnsi="Times New Roman"/>
                <w:bCs/>
                <w:color w:val="auto"/>
                <w:sz w:val="18"/>
                <w:szCs w:val="18"/>
                <w:highlight w:val="none"/>
              </w:rPr>
            </w:pPr>
            <w:r>
              <w:rPr>
                <w:rFonts w:ascii="宋体" w:hAnsi="宋体" w:cs="Nimbus Roman No9 L"/>
                <w:color w:val="auto"/>
                <w:sz w:val="18"/>
                <w:szCs w:val="18"/>
                <w:highlight w:val="none"/>
              </w:rPr>
              <w:t>400</w:t>
            </w:r>
            <w:r>
              <w:rPr>
                <w:rFonts w:ascii="宋体" w:hAnsi="宋体" w:cs="Nimbus Roman No9 L"/>
                <w:color w:val="auto"/>
                <w:sz w:val="18"/>
                <w:szCs w:val="18"/>
                <w:highlight w:val="none"/>
                <w:lang w:val="en"/>
              </w:rPr>
              <w:t xml:space="preserve"> </w:t>
            </w:r>
            <w:r>
              <w:rPr>
                <w:rFonts w:ascii="宋体" w:hAnsi="宋体" w:eastAsia="宋体" w:cs="Nimbus Roman No9 L"/>
                <w:b w:val="0"/>
                <w:bCs w:val="0"/>
                <w:color w:val="auto"/>
                <w:sz w:val="18"/>
                <w:szCs w:val="18"/>
                <w:highlight w:val="none"/>
              </w:rPr>
              <w:t>农民专业合作社（联合社）</w:t>
            </w:r>
            <w:r>
              <w:rPr>
                <w:rFonts w:hint="default" w:ascii="宋体" w:hAnsi="宋体" w:eastAsia="宋体" w:cs="Nimbus Roman No9 L"/>
                <w:color w:val="auto"/>
                <w:sz w:val="18"/>
                <w:szCs w:val="18"/>
                <w:highlight w:val="none"/>
              </w:rPr>
              <w:t xml:space="preserve"> </w:t>
            </w:r>
            <w:r>
              <w:rPr>
                <w:rFonts w:hint="eastAsia" w:ascii="宋体" w:hAnsi="宋体" w:eastAsia="宋体" w:cs="Nimbus Roman No9 L"/>
                <w:color w:val="auto"/>
                <w:sz w:val="18"/>
                <w:szCs w:val="18"/>
                <w:highlight w:val="none"/>
                <w:lang w:val="en-US" w:eastAsia="zh-CN"/>
              </w:rPr>
              <w:t xml:space="preserve"> </w:t>
            </w:r>
            <w:r>
              <w:rPr>
                <w:rFonts w:ascii="宋体" w:hAnsi="宋体" w:eastAsia="宋体" w:cs="Nimbus Roman No9 L"/>
                <w:color w:val="auto"/>
                <w:sz w:val="18"/>
                <w:szCs w:val="18"/>
                <w:highlight w:val="none"/>
              </w:rPr>
              <w:t>500</w:t>
            </w:r>
            <w:r>
              <w:rPr>
                <w:rFonts w:ascii="宋体" w:hAnsi="宋体" w:eastAsia="宋体" w:cs="Nimbus Roman No9 L"/>
                <w:color w:val="auto"/>
                <w:sz w:val="18"/>
                <w:szCs w:val="18"/>
                <w:highlight w:val="none"/>
                <w:lang w:val="en"/>
              </w:rPr>
              <w:t xml:space="preserve"> </w:t>
            </w:r>
            <w:r>
              <w:rPr>
                <w:rFonts w:ascii="宋体" w:hAnsi="宋体" w:eastAsia="宋体" w:cs="Nimbus Roman No9 L"/>
                <w:b w:val="0"/>
                <w:bCs w:val="0"/>
                <w:color w:val="auto"/>
                <w:sz w:val="18"/>
                <w:szCs w:val="18"/>
                <w:highlight w:val="none"/>
              </w:rPr>
              <w:t>个体工商户</w:t>
            </w:r>
            <w:r>
              <w:rPr>
                <w:rFonts w:hint="default" w:ascii="宋体" w:hAnsi="宋体" w:eastAsia="宋体" w:cs="Nimbus Roman No9 L"/>
                <w:b w:val="0"/>
                <w:bCs w:val="0"/>
                <w:color w:val="auto"/>
                <w:sz w:val="18"/>
                <w:szCs w:val="18"/>
                <w:highlight w:val="none"/>
              </w:rPr>
              <w:t xml:space="preserve">   </w:t>
            </w:r>
            <w:r>
              <w:rPr>
                <w:rFonts w:ascii="宋体" w:hAnsi="宋体" w:eastAsia="宋体" w:cs="Nimbus Roman No9 L"/>
                <w:color w:val="auto"/>
                <w:sz w:val="18"/>
                <w:szCs w:val="18"/>
                <w:highlight w:val="none"/>
              </w:rPr>
              <w:t>900</w:t>
            </w:r>
            <w:r>
              <w:rPr>
                <w:rFonts w:ascii="宋体" w:hAnsi="宋体" w:eastAsia="宋体" w:cs="Nimbus Roman No9 L"/>
                <w:color w:val="auto"/>
                <w:sz w:val="18"/>
                <w:szCs w:val="18"/>
                <w:highlight w:val="none"/>
                <w:lang w:val="en"/>
              </w:rPr>
              <w:t xml:space="preserve"> </w:t>
            </w:r>
            <w:r>
              <w:rPr>
                <w:rFonts w:ascii="宋体" w:hAnsi="宋体" w:eastAsia="宋体" w:cs="Nimbus Roman No9 L"/>
                <w:b w:val="0"/>
                <w:bCs w:val="0"/>
                <w:color w:val="auto"/>
                <w:sz w:val="18"/>
                <w:szCs w:val="18"/>
                <w:highlight w:val="none"/>
              </w:rPr>
              <w:t>其他市场主体</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bCs/>
                <w:color w:val="auto"/>
                <w:sz w:val="18"/>
                <w:szCs w:val="18"/>
                <w:highlight w:val="none"/>
              </w:rPr>
            </w:pPr>
          </w:p>
          <w:p>
            <w:pPr>
              <w:snapToGrid w:val="0"/>
              <w:spacing w:line="280" w:lineRule="exact"/>
              <w:jc w:val="center"/>
              <w:rPr>
                <w:bCs/>
                <w:color w:val="auto"/>
                <w:highlight w:val="none"/>
              </w:rPr>
            </w:pPr>
            <w:r>
              <w:rPr>
                <w:bCs/>
                <w:color w:val="auto"/>
                <w:sz w:val="18"/>
                <w:szCs w:val="18"/>
                <w:highlight w:val="none"/>
              </w:rPr>
              <w:t>QB06_1</w:t>
            </w:r>
          </w:p>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QB06_2</w:t>
            </w:r>
          </w:p>
        </w:tc>
        <w:tc>
          <w:tcPr>
            <w:tcW w:w="8974" w:type="dxa"/>
            <w:tcBorders>
              <w:top w:val="single" w:color="auto" w:sz="4" w:space="0"/>
              <w:left w:val="single" w:color="auto" w:sz="2" w:space="0"/>
              <w:bottom w:val="single" w:color="auto" w:sz="4" w:space="0"/>
              <w:right w:val="nil"/>
            </w:tcBorders>
            <w:noWrap w:val="0"/>
            <w:vAlign w:val="center"/>
          </w:tcPr>
          <w:p>
            <w:pPr>
              <w:widowControl/>
              <w:snapToGrid w:val="0"/>
              <w:spacing w:line="280" w:lineRule="exact"/>
              <w:rPr>
                <w:bCs/>
                <w:color w:val="auto"/>
                <w:sz w:val="18"/>
                <w:szCs w:val="18"/>
                <w:highlight w:val="none"/>
              </w:rPr>
            </w:pPr>
            <w:r>
              <w:rPr>
                <w:rFonts w:hint="eastAsia"/>
                <w:bCs/>
                <w:color w:val="auto"/>
                <w:sz w:val="18"/>
                <w:szCs w:val="18"/>
                <w:highlight w:val="none"/>
              </w:rPr>
              <w:t>主要外资来源国或地区的国别（地区）名称代码及外资出资比例（限港澳台商和外商投资企业填报）</w:t>
            </w:r>
          </w:p>
          <w:p>
            <w:pPr>
              <w:widowControl/>
              <w:snapToGrid w:val="0"/>
              <w:spacing w:line="280" w:lineRule="exact"/>
              <w:rPr>
                <w:bCs/>
                <w:color w:val="auto"/>
                <w:sz w:val="18"/>
                <w:szCs w:val="18"/>
                <w:highlight w:val="none"/>
              </w:rPr>
            </w:pPr>
            <w:r>
              <w:rPr>
                <w:rFonts w:hint="eastAsia"/>
                <w:bCs/>
                <w:color w:val="auto"/>
                <w:sz w:val="18"/>
                <w:szCs w:val="18"/>
                <w:highlight w:val="none"/>
              </w:rPr>
              <w:t>国别或地区代码（QB06_1）□□□</w:t>
            </w:r>
          </w:p>
          <w:p>
            <w:pPr>
              <w:widowControl/>
              <w:snapToGrid w:val="0"/>
              <w:spacing w:line="280" w:lineRule="exact"/>
              <w:rPr>
                <w:rFonts w:ascii="Times New Roman" w:hAnsi="Times New Roman"/>
                <w:bCs/>
                <w:color w:val="auto"/>
                <w:sz w:val="18"/>
                <w:szCs w:val="18"/>
                <w:highlight w:val="none"/>
                <w:u w:val="single"/>
              </w:rPr>
            </w:pPr>
            <w:r>
              <w:rPr>
                <w:rFonts w:hint="eastAsia"/>
                <w:bCs/>
                <w:color w:val="auto"/>
                <w:sz w:val="18"/>
                <w:szCs w:val="18"/>
                <w:highlight w:val="none"/>
              </w:rPr>
              <w:t>出资比例（QB06_2）</w:t>
            </w:r>
            <w:r>
              <w:rPr>
                <w:bCs/>
                <w:color w:val="auto"/>
                <w:sz w:val="18"/>
                <w:szCs w:val="18"/>
                <w:highlight w:val="none"/>
                <w:u w:val="single"/>
              </w:rPr>
              <w:t xml:space="preserve">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QB18</w:t>
            </w:r>
          </w:p>
        </w:tc>
        <w:tc>
          <w:tcPr>
            <w:tcW w:w="8974" w:type="dxa"/>
            <w:tcBorders>
              <w:top w:val="single" w:color="auto" w:sz="4" w:space="0"/>
              <w:left w:val="single" w:color="auto" w:sz="2" w:space="0"/>
              <w:bottom w:val="single" w:color="auto" w:sz="4" w:space="0"/>
              <w:right w:val="nil"/>
            </w:tcBorders>
            <w:noWrap w:val="0"/>
            <w:vAlign w:val="center"/>
          </w:tcPr>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 xml:space="preserve">企业控股情况□   1 国有控股    2 集体控股    3 私人控股    4 港澳台商控股    5 外商控股 </w:t>
            </w:r>
            <w:r>
              <w:rPr>
                <w:rFonts w:hint="eastAsia"/>
                <w:bCs/>
                <w:color w:val="auto"/>
                <w:sz w:val="18"/>
                <w:szCs w:val="18"/>
                <w:highlight w:val="none"/>
                <w:lang w:val="en-US" w:eastAsia="zh-CN"/>
              </w:rPr>
              <w:t xml:space="preserve">  </w:t>
            </w:r>
            <w:r>
              <w:rPr>
                <w:rFonts w:hint="eastAsia"/>
                <w:bCs/>
                <w:color w:val="auto"/>
                <w:sz w:val="18"/>
                <w:szCs w:val="18"/>
                <w:highlight w:val="none"/>
              </w:rPr>
              <w:t>9 其他</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rFonts w:hint="eastAsia" w:eastAsia="宋体"/>
                <w:bCs/>
                <w:color w:val="auto"/>
                <w:kern w:val="2"/>
                <w:sz w:val="18"/>
                <w:szCs w:val="18"/>
                <w:highlight w:val="none"/>
                <w:lang w:val="en-US" w:eastAsia="zh-CN" w:bidi="ar-SA"/>
              </w:rPr>
            </w:pPr>
            <w:r>
              <w:rPr>
                <w:bCs/>
                <w:color w:val="auto"/>
                <w:sz w:val="18"/>
                <w:szCs w:val="18"/>
                <w:highlight w:val="none"/>
              </w:rPr>
              <w:t>QB</w:t>
            </w:r>
            <w:r>
              <w:rPr>
                <w:rFonts w:hint="eastAsia"/>
                <w:bCs/>
                <w:color w:val="auto"/>
                <w:sz w:val="18"/>
                <w:szCs w:val="18"/>
                <w:highlight w:val="none"/>
                <w:lang w:val="en-US" w:eastAsia="zh-CN"/>
              </w:rPr>
              <w:t>39</w:t>
            </w:r>
          </w:p>
        </w:tc>
        <w:tc>
          <w:tcPr>
            <w:tcW w:w="8974" w:type="dxa"/>
            <w:tcBorders>
              <w:top w:val="single" w:color="auto" w:sz="4" w:space="0"/>
              <w:left w:val="single" w:color="auto" w:sz="2" w:space="0"/>
              <w:bottom w:val="single" w:color="auto" w:sz="4" w:space="0"/>
              <w:right w:val="nil"/>
            </w:tcBorders>
            <w:noWrap w:val="0"/>
            <w:vAlign w:val="center"/>
          </w:tcPr>
          <w:p>
            <w:pPr>
              <w:snapToGrid w:val="0"/>
              <w:spacing w:line="280" w:lineRule="exact"/>
              <w:ind w:firstLine="12" w:firstLineChars="7"/>
              <w:rPr>
                <w:rFonts w:ascii="Nimbus Roman No9 L" w:hAnsi="Nimbus Roman No9 L" w:eastAsia="宋体" w:cs="Nimbus Roman No9 L"/>
                <w:color w:val="auto"/>
                <w:sz w:val="18"/>
                <w:szCs w:val="18"/>
                <w:highlight w:val="none"/>
              </w:rPr>
            </w:pPr>
            <w:r>
              <w:rPr>
                <w:rFonts w:ascii="Nimbus Roman No9 L" w:hAnsi="Nimbus Roman No9 L" w:eastAsia="宋体" w:cs="Nimbus Roman No9 L"/>
                <w:color w:val="auto"/>
                <w:sz w:val="18"/>
                <w:szCs w:val="18"/>
                <w:highlight w:val="none"/>
              </w:rPr>
              <w:t>港澳台商投资情况（限港澳台商投资企业填报）（可多选）</w:t>
            </w:r>
          </w:p>
          <w:p>
            <w:pPr>
              <w:snapToGrid w:val="0"/>
              <w:spacing w:line="280" w:lineRule="exact"/>
              <w:ind w:left="0" w:leftChars="0" w:firstLine="0" w:firstLineChars="0"/>
              <w:rPr>
                <w:rFonts w:hint="eastAsia" w:ascii="Nimbus Roman No9 L" w:hAnsi="Nimbus Roman No9 L" w:eastAsia="宋体" w:cs="Nimbus Roman No9 L"/>
                <w:color w:val="auto"/>
                <w:kern w:val="2"/>
                <w:sz w:val="18"/>
                <w:szCs w:val="18"/>
                <w:highlight w:val="none"/>
                <w:lang w:val="en-US" w:eastAsia="zh-CN" w:bidi="ar-SA"/>
              </w:rPr>
            </w:pPr>
            <w:r>
              <w:rPr>
                <w:rFonts w:hint="eastAsia"/>
                <w:bCs/>
                <w:color w:val="auto"/>
                <w:sz w:val="18"/>
                <w:szCs w:val="18"/>
                <w:highlight w:val="none"/>
              </w:rPr>
              <w:t>1</w:t>
            </w:r>
            <w:r>
              <w:rPr>
                <w:rFonts w:ascii="Nimbus Roman No9 L" w:hAnsi="Nimbus Roman No9 L" w:eastAsia="宋体" w:cs="Nimbus Roman No9 L"/>
                <w:color w:val="auto"/>
                <w:sz w:val="18"/>
                <w:szCs w:val="18"/>
                <w:highlight w:val="none"/>
              </w:rPr>
              <w:t xml:space="preserve"> 港商投资   </w:t>
            </w:r>
            <w:r>
              <w:rPr>
                <w:rFonts w:hint="eastAsia"/>
                <w:bCs/>
                <w:color w:val="auto"/>
                <w:sz w:val="18"/>
                <w:szCs w:val="18"/>
                <w:highlight w:val="none"/>
              </w:rPr>
              <w:t>2</w:t>
            </w:r>
            <w:r>
              <w:rPr>
                <w:rFonts w:ascii="Nimbus Roman No9 L" w:hAnsi="Nimbus Roman No9 L" w:eastAsia="宋体" w:cs="Nimbus Roman No9 L"/>
                <w:color w:val="auto"/>
                <w:sz w:val="18"/>
                <w:szCs w:val="18"/>
                <w:highlight w:val="none"/>
              </w:rPr>
              <w:t xml:space="preserve">澳商投资   </w:t>
            </w:r>
            <w:r>
              <w:rPr>
                <w:rFonts w:hint="eastAsia"/>
                <w:bCs/>
                <w:color w:val="auto"/>
                <w:sz w:val="18"/>
                <w:szCs w:val="18"/>
                <w:highlight w:val="none"/>
              </w:rPr>
              <w:t>3</w:t>
            </w:r>
            <w:r>
              <w:rPr>
                <w:rFonts w:ascii="Nimbus Roman No9 L" w:hAnsi="Nimbus Roman No9 L" w:eastAsia="宋体" w:cs="Nimbus Roman No9 L"/>
                <w:color w:val="auto"/>
                <w:sz w:val="18"/>
                <w:szCs w:val="18"/>
                <w:highlight w:val="none"/>
              </w:rPr>
              <w:t xml:space="preserve">台商投资   </w:t>
            </w:r>
            <w:r>
              <w:rPr>
                <w:rFonts w:hint="eastAsia"/>
                <w:bCs/>
                <w:color w:val="auto"/>
                <w:sz w:val="18"/>
                <w:szCs w:val="18"/>
                <w:highlight w:val="none"/>
              </w:rPr>
              <w:t>4</w:t>
            </w:r>
            <w:r>
              <w:rPr>
                <w:rFonts w:ascii="Nimbus Roman No9 L" w:hAnsi="Nimbus Roman No9 L" w:eastAsia="宋体" w:cs="Nimbus Roman No9 L"/>
                <w:color w:val="auto"/>
                <w:sz w:val="18"/>
                <w:szCs w:val="18"/>
                <w:highlight w:val="none"/>
                <w:lang w:val="en"/>
              </w:rPr>
              <w:t>暂未</w:t>
            </w:r>
            <w:r>
              <w:rPr>
                <w:rFonts w:ascii="Nimbus Roman No9 L" w:hAnsi="Nimbus Roman No9 L" w:eastAsia="宋体" w:cs="Nimbus Roman No9 L"/>
                <w:color w:val="auto"/>
                <w:sz w:val="18"/>
                <w:szCs w:val="18"/>
                <w:highlight w:val="none"/>
              </w:rPr>
              <w:t>投资</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bCs/>
                <w:color w:val="auto"/>
                <w:sz w:val="18"/>
                <w:szCs w:val="18"/>
                <w:highlight w:val="none"/>
              </w:rPr>
            </w:pPr>
            <w:r>
              <w:rPr>
                <w:rFonts w:hint="eastAsia"/>
                <w:bCs/>
                <w:color w:val="auto"/>
                <w:sz w:val="18"/>
                <w:szCs w:val="18"/>
                <w:highlight w:val="none"/>
              </w:rPr>
              <w:t>QB</w:t>
            </w:r>
            <w:r>
              <w:rPr>
                <w:bCs/>
                <w:color w:val="auto"/>
                <w:sz w:val="18"/>
                <w:szCs w:val="18"/>
                <w:highlight w:val="none"/>
              </w:rPr>
              <w:t>30</w:t>
            </w:r>
          </w:p>
        </w:tc>
        <w:tc>
          <w:tcPr>
            <w:tcW w:w="8974" w:type="dxa"/>
            <w:tcBorders>
              <w:top w:val="single" w:color="auto" w:sz="4" w:space="0"/>
              <w:left w:val="single" w:color="auto" w:sz="2" w:space="0"/>
              <w:bottom w:val="single" w:color="auto" w:sz="4" w:space="0"/>
              <w:right w:val="nil"/>
            </w:tcBorders>
            <w:noWrap w:val="0"/>
            <w:vAlign w:val="center"/>
          </w:tcPr>
          <w:p>
            <w:pPr>
              <w:snapToGrid w:val="0"/>
              <w:spacing w:line="280" w:lineRule="exact"/>
              <w:rPr>
                <w:bCs/>
                <w:color w:val="auto"/>
                <w:sz w:val="18"/>
                <w:szCs w:val="18"/>
                <w:highlight w:val="none"/>
              </w:rPr>
            </w:pPr>
            <w:r>
              <w:rPr>
                <w:rFonts w:hint="eastAsia"/>
                <w:bCs/>
                <w:color w:val="auto"/>
                <w:sz w:val="18"/>
                <w:szCs w:val="18"/>
                <w:highlight w:val="none"/>
                <w:lang w:eastAsia="zh-CN"/>
              </w:rPr>
              <w:t>用</w:t>
            </w:r>
            <w:r>
              <w:rPr>
                <w:rFonts w:hint="eastAsia"/>
                <w:bCs/>
                <w:color w:val="auto"/>
                <w:sz w:val="18"/>
                <w:szCs w:val="18"/>
                <w:highlight w:val="none"/>
              </w:rPr>
              <w:t>地</w:t>
            </w:r>
            <w:r>
              <w:rPr>
                <w:bCs/>
                <w:color w:val="auto"/>
                <w:sz w:val="18"/>
                <w:szCs w:val="18"/>
                <w:highlight w:val="none"/>
              </w:rPr>
              <w:t>面积</w:t>
            </w:r>
            <w:r>
              <w:rPr>
                <w:rFonts w:hint="eastAsia"/>
                <w:bCs/>
                <w:color w:val="auto"/>
                <w:sz w:val="18"/>
                <w:szCs w:val="18"/>
                <w:highlight w:val="none"/>
              </w:rPr>
              <w:t>（QB</w:t>
            </w:r>
            <w:r>
              <w:rPr>
                <w:bCs/>
                <w:color w:val="auto"/>
                <w:sz w:val="18"/>
                <w:szCs w:val="18"/>
                <w:highlight w:val="none"/>
              </w:rPr>
              <w:t>30</w:t>
            </w:r>
            <w:r>
              <w:rPr>
                <w:rFonts w:hint="eastAsia"/>
                <w:bCs/>
                <w:color w:val="auto"/>
                <w:sz w:val="18"/>
                <w:szCs w:val="18"/>
                <w:highlight w:val="none"/>
              </w:rPr>
              <w:t>）</w:t>
            </w:r>
            <w:r>
              <w:rPr>
                <w:bCs/>
                <w:color w:val="auto"/>
                <w:sz w:val="18"/>
                <w:szCs w:val="18"/>
                <w:highlight w:val="none"/>
              </w:rPr>
              <w:t>：</w:t>
            </w:r>
            <w:r>
              <w:rPr>
                <w:rFonts w:hint="eastAsia"/>
                <w:bCs/>
                <w:color w:val="auto"/>
                <w:sz w:val="18"/>
                <w:szCs w:val="18"/>
                <w:highlight w:val="none"/>
              </w:rPr>
              <w:t>________平方</w:t>
            </w:r>
            <w:r>
              <w:rPr>
                <w:bCs/>
                <w:color w:val="auto"/>
                <w:sz w:val="18"/>
                <w:szCs w:val="18"/>
                <w:highlight w:val="none"/>
              </w:rPr>
              <w:t>米</w:t>
            </w:r>
          </w:p>
          <w:p>
            <w:pPr>
              <w:snapToGrid w:val="0"/>
              <w:spacing w:line="280" w:lineRule="exact"/>
              <w:rPr>
                <w:bCs/>
                <w:color w:val="auto"/>
                <w:sz w:val="18"/>
                <w:szCs w:val="18"/>
                <w:highlight w:val="none"/>
              </w:rPr>
            </w:pPr>
            <w:r>
              <w:rPr>
                <w:rFonts w:hint="eastAsia"/>
                <w:bCs/>
                <w:color w:val="auto"/>
                <w:sz w:val="18"/>
                <w:szCs w:val="18"/>
                <w:highlight w:val="none"/>
              </w:rPr>
              <w:t>建筑</w:t>
            </w:r>
            <w:r>
              <w:rPr>
                <w:bCs/>
                <w:color w:val="auto"/>
                <w:sz w:val="18"/>
                <w:szCs w:val="18"/>
                <w:highlight w:val="none"/>
              </w:rPr>
              <w:t>面积</w:t>
            </w:r>
            <w:r>
              <w:rPr>
                <w:rFonts w:hint="eastAsia"/>
                <w:bCs/>
                <w:color w:val="auto"/>
                <w:sz w:val="18"/>
                <w:szCs w:val="18"/>
                <w:highlight w:val="none"/>
              </w:rPr>
              <w:t>（QB</w:t>
            </w:r>
            <w:r>
              <w:rPr>
                <w:bCs/>
                <w:color w:val="auto"/>
                <w:sz w:val="18"/>
                <w:szCs w:val="18"/>
                <w:highlight w:val="none"/>
              </w:rPr>
              <w:t>30_</w:t>
            </w:r>
            <w:r>
              <w:rPr>
                <w:rFonts w:hint="eastAsia"/>
                <w:bCs/>
                <w:color w:val="auto"/>
                <w:sz w:val="18"/>
                <w:szCs w:val="18"/>
                <w:highlight w:val="none"/>
                <w:lang w:val="en-US" w:eastAsia="zh-CN"/>
              </w:rPr>
              <w:t>1</w:t>
            </w:r>
            <w:r>
              <w:rPr>
                <w:rFonts w:hint="eastAsia"/>
                <w:bCs/>
                <w:color w:val="auto"/>
                <w:sz w:val="18"/>
                <w:szCs w:val="18"/>
                <w:highlight w:val="none"/>
              </w:rPr>
              <w:t>）</w:t>
            </w:r>
            <w:r>
              <w:rPr>
                <w:bCs/>
                <w:color w:val="auto"/>
                <w:sz w:val="18"/>
                <w:szCs w:val="18"/>
                <w:highlight w:val="none"/>
              </w:rPr>
              <w:t>：</w:t>
            </w:r>
            <w:r>
              <w:rPr>
                <w:rFonts w:hint="eastAsia"/>
                <w:bCs/>
                <w:color w:val="auto"/>
                <w:sz w:val="18"/>
                <w:szCs w:val="18"/>
                <w:highlight w:val="none"/>
              </w:rPr>
              <w:t>________平方</w:t>
            </w:r>
            <w:r>
              <w:rPr>
                <w:bCs/>
                <w:color w:val="auto"/>
                <w:sz w:val="18"/>
                <w:szCs w:val="18"/>
                <w:highlight w:val="none"/>
              </w:rPr>
              <w:t>米</w:t>
            </w:r>
          </w:p>
          <w:p>
            <w:pPr>
              <w:snapToGrid w:val="0"/>
              <w:spacing w:line="280" w:lineRule="exact"/>
              <w:rPr>
                <w:bCs/>
                <w:color w:val="auto"/>
                <w:sz w:val="18"/>
                <w:szCs w:val="18"/>
                <w:highlight w:val="none"/>
              </w:rPr>
            </w:pPr>
            <w:r>
              <w:rPr>
                <w:rFonts w:hint="eastAsia"/>
                <w:bCs/>
                <w:color w:val="auto"/>
                <w:sz w:val="18"/>
                <w:szCs w:val="18"/>
                <w:highlight w:val="none"/>
                <w:lang w:eastAsia="zh-CN"/>
              </w:rPr>
              <w:t>用于</w:t>
            </w:r>
            <w:r>
              <w:rPr>
                <w:rFonts w:hint="eastAsia"/>
                <w:bCs/>
                <w:color w:val="auto"/>
                <w:sz w:val="18"/>
                <w:szCs w:val="18"/>
                <w:highlight w:val="none"/>
              </w:rPr>
              <w:t>生产</w:t>
            </w:r>
            <w:r>
              <w:rPr>
                <w:rFonts w:hint="eastAsia"/>
                <w:bCs/>
                <w:color w:val="auto"/>
                <w:sz w:val="18"/>
                <w:szCs w:val="18"/>
                <w:highlight w:val="none"/>
                <w:lang w:eastAsia="zh-CN"/>
              </w:rPr>
              <w:t>的建筑</w:t>
            </w:r>
            <w:r>
              <w:rPr>
                <w:bCs/>
                <w:color w:val="auto"/>
                <w:sz w:val="18"/>
                <w:szCs w:val="18"/>
                <w:highlight w:val="none"/>
              </w:rPr>
              <w:t>面积</w:t>
            </w:r>
            <w:r>
              <w:rPr>
                <w:rFonts w:hint="eastAsia"/>
                <w:bCs/>
                <w:color w:val="auto"/>
                <w:sz w:val="18"/>
                <w:szCs w:val="18"/>
                <w:highlight w:val="none"/>
              </w:rPr>
              <w:t>（QB</w:t>
            </w:r>
            <w:r>
              <w:rPr>
                <w:bCs/>
                <w:color w:val="auto"/>
                <w:sz w:val="18"/>
                <w:szCs w:val="18"/>
                <w:highlight w:val="none"/>
              </w:rPr>
              <w:t>30_2</w:t>
            </w:r>
            <w:r>
              <w:rPr>
                <w:rFonts w:hint="eastAsia"/>
                <w:bCs/>
                <w:color w:val="auto"/>
                <w:sz w:val="18"/>
                <w:szCs w:val="18"/>
                <w:highlight w:val="none"/>
              </w:rPr>
              <w:t>）</w:t>
            </w:r>
            <w:r>
              <w:rPr>
                <w:bCs/>
                <w:color w:val="auto"/>
                <w:sz w:val="18"/>
                <w:szCs w:val="18"/>
                <w:highlight w:val="none"/>
              </w:rPr>
              <w:t>：</w:t>
            </w:r>
            <w:r>
              <w:rPr>
                <w:rFonts w:hint="eastAsia"/>
                <w:bCs/>
                <w:color w:val="auto"/>
                <w:sz w:val="18"/>
                <w:szCs w:val="18"/>
                <w:highlight w:val="none"/>
              </w:rPr>
              <w:t>________平方</w:t>
            </w:r>
            <w:r>
              <w:rPr>
                <w:bCs/>
                <w:color w:val="auto"/>
                <w:sz w:val="18"/>
                <w:szCs w:val="18"/>
                <w:highlight w:val="none"/>
              </w:rPr>
              <w:t>米</w:t>
            </w:r>
          </w:p>
          <w:p>
            <w:pPr>
              <w:snapToGrid w:val="0"/>
              <w:spacing w:line="280" w:lineRule="exact"/>
              <w:rPr>
                <w:rFonts w:hint="eastAsia" w:eastAsia="宋体"/>
                <w:bCs/>
                <w:color w:val="auto"/>
                <w:sz w:val="18"/>
                <w:szCs w:val="18"/>
                <w:highlight w:val="none"/>
                <w:lang w:eastAsia="zh-CN"/>
              </w:rPr>
            </w:pPr>
            <w:r>
              <w:rPr>
                <w:rFonts w:hint="eastAsia"/>
                <w:bCs/>
                <w:color w:val="auto"/>
                <w:sz w:val="18"/>
                <w:szCs w:val="18"/>
                <w:highlight w:val="none"/>
                <w:lang w:eastAsia="zh-CN"/>
              </w:rPr>
              <w:t>用于研发的建筑面积</w:t>
            </w:r>
            <w:r>
              <w:rPr>
                <w:rFonts w:hint="eastAsia"/>
                <w:bCs/>
                <w:color w:val="auto"/>
                <w:sz w:val="18"/>
                <w:szCs w:val="18"/>
                <w:highlight w:val="none"/>
              </w:rPr>
              <w:t>（QB</w:t>
            </w:r>
            <w:r>
              <w:rPr>
                <w:bCs/>
                <w:color w:val="auto"/>
                <w:sz w:val="18"/>
                <w:szCs w:val="18"/>
                <w:highlight w:val="none"/>
              </w:rPr>
              <w:t>30_</w:t>
            </w:r>
            <w:r>
              <w:rPr>
                <w:rFonts w:hint="eastAsia"/>
                <w:bCs/>
                <w:color w:val="auto"/>
                <w:sz w:val="18"/>
                <w:szCs w:val="18"/>
                <w:highlight w:val="none"/>
                <w:lang w:val="en-US" w:eastAsia="zh-CN"/>
              </w:rPr>
              <w:t>3</w:t>
            </w:r>
            <w:r>
              <w:rPr>
                <w:rFonts w:hint="eastAsia"/>
                <w:bCs/>
                <w:color w:val="auto"/>
                <w:sz w:val="18"/>
                <w:szCs w:val="18"/>
                <w:highlight w:val="none"/>
              </w:rPr>
              <w:t>）</w:t>
            </w:r>
            <w:r>
              <w:rPr>
                <w:bCs/>
                <w:color w:val="auto"/>
                <w:sz w:val="18"/>
                <w:szCs w:val="18"/>
                <w:highlight w:val="none"/>
              </w:rPr>
              <w:t>：</w:t>
            </w:r>
            <w:r>
              <w:rPr>
                <w:rFonts w:hint="eastAsia"/>
                <w:bCs/>
                <w:color w:val="auto"/>
                <w:sz w:val="18"/>
                <w:szCs w:val="18"/>
                <w:highlight w:val="none"/>
              </w:rPr>
              <w:t>________平方</w:t>
            </w:r>
            <w:r>
              <w:rPr>
                <w:bCs/>
                <w:color w:val="auto"/>
                <w:sz w:val="18"/>
                <w:szCs w:val="18"/>
                <w:highlight w:val="none"/>
              </w:rPr>
              <w:t>米</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bCs/>
                <w:color w:val="auto"/>
                <w:sz w:val="18"/>
                <w:szCs w:val="18"/>
                <w:highlight w:val="none"/>
              </w:rPr>
            </w:pPr>
            <w:r>
              <w:rPr>
                <w:bCs/>
                <w:color w:val="auto"/>
                <w:sz w:val="18"/>
                <w:szCs w:val="18"/>
                <w:highlight w:val="none"/>
              </w:rPr>
              <w:t xml:space="preserve">QB09 </w:t>
            </w:r>
          </w:p>
          <w:p>
            <w:pPr>
              <w:snapToGrid w:val="0"/>
              <w:spacing w:line="280" w:lineRule="exact"/>
              <w:jc w:val="center"/>
              <w:rPr>
                <w:bCs/>
                <w:color w:val="auto"/>
                <w:sz w:val="18"/>
                <w:szCs w:val="18"/>
                <w:highlight w:val="none"/>
              </w:rPr>
            </w:pPr>
          </w:p>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QB10</w:t>
            </w:r>
          </w:p>
        </w:tc>
        <w:tc>
          <w:tcPr>
            <w:tcW w:w="8974" w:type="dxa"/>
            <w:tcBorders>
              <w:top w:val="single" w:color="auto" w:sz="4" w:space="0"/>
              <w:left w:val="single" w:color="auto" w:sz="2" w:space="0"/>
              <w:bottom w:val="single" w:color="auto" w:sz="4" w:space="0"/>
              <w:right w:val="nil"/>
            </w:tcBorders>
            <w:noWrap w:val="0"/>
            <w:vAlign w:val="center"/>
          </w:tcPr>
          <w:p>
            <w:pPr>
              <w:spacing w:line="280" w:lineRule="exact"/>
              <w:rPr>
                <w:bCs/>
                <w:color w:val="auto"/>
                <w:sz w:val="18"/>
                <w:szCs w:val="18"/>
                <w:highlight w:val="none"/>
              </w:rPr>
            </w:pPr>
            <w:r>
              <w:rPr>
                <w:rFonts w:hint="eastAsia"/>
                <w:bCs/>
                <w:color w:val="auto"/>
                <w:sz w:val="18"/>
                <w:szCs w:val="18"/>
                <w:highlight w:val="none"/>
              </w:rPr>
              <w:t>企业集团情况（QB09）（限企业集团母公司及成员企业填写）：本企业是□</w:t>
            </w:r>
          </w:p>
          <w:p>
            <w:pPr>
              <w:spacing w:line="280" w:lineRule="exact"/>
              <w:rPr>
                <w:bCs/>
                <w:color w:val="auto"/>
                <w:sz w:val="18"/>
                <w:szCs w:val="18"/>
                <w:highlight w:val="none"/>
              </w:rPr>
            </w:pPr>
            <w:r>
              <w:rPr>
                <w:rFonts w:hint="eastAsia"/>
                <w:bCs/>
                <w:color w:val="auto"/>
                <w:kern w:val="0"/>
                <w:sz w:val="18"/>
                <w:szCs w:val="18"/>
                <w:highlight w:val="none"/>
              </w:rPr>
              <w:t>1集团母公司</w:t>
            </w:r>
            <w:r>
              <w:rPr>
                <w:rFonts w:hint="eastAsia"/>
                <w:bCs/>
                <w:color w:val="auto"/>
                <w:sz w:val="18"/>
                <w:szCs w:val="18"/>
                <w:highlight w:val="none"/>
              </w:rPr>
              <w:t>(核心企业或集团总部)</w:t>
            </w:r>
            <w:r>
              <w:rPr>
                <w:rFonts w:hint="eastAsia"/>
                <w:bCs/>
                <w:color w:val="auto"/>
                <w:sz w:val="18"/>
                <w:szCs w:val="18"/>
                <w:highlight w:val="none"/>
                <w:lang w:val="en-US" w:eastAsia="zh-CN"/>
              </w:rPr>
              <w:t xml:space="preserve">    </w:t>
            </w:r>
            <w:r>
              <w:rPr>
                <w:rFonts w:hint="eastAsia"/>
                <w:bCs/>
                <w:color w:val="auto"/>
                <w:sz w:val="18"/>
                <w:szCs w:val="18"/>
                <w:highlight w:val="none"/>
              </w:rPr>
              <w:t>2企业集团的成员企业</w:t>
            </w:r>
          </w:p>
          <w:p>
            <w:pPr>
              <w:snapToGrid w:val="0"/>
              <w:spacing w:line="280" w:lineRule="exact"/>
              <w:rPr>
                <w:bCs/>
                <w:color w:val="auto"/>
                <w:sz w:val="18"/>
                <w:szCs w:val="18"/>
                <w:highlight w:val="none"/>
              </w:rPr>
            </w:pPr>
            <w:r>
              <w:rPr>
                <w:rFonts w:hint="eastAsia"/>
                <w:bCs/>
                <w:color w:val="auto"/>
                <w:sz w:val="18"/>
                <w:szCs w:val="18"/>
                <w:highlight w:val="none"/>
              </w:rPr>
              <w:t>如为2，请填直接上级法人单位统一社会信用代码（QB10）</w:t>
            </w:r>
          </w:p>
          <w:p>
            <w:pPr>
              <w:snapToGrid w:val="0"/>
              <w:spacing w:line="280" w:lineRule="exact"/>
              <w:rPr>
                <w:bCs/>
                <w:color w:val="auto"/>
                <w:sz w:val="18"/>
                <w:szCs w:val="18"/>
                <w:highlight w:val="none"/>
              </w:rPr>
            </w:pPr>
            <w:r>
              <w:rPr>
                <w:rFonts w:hint="eastAsia"/>
                <w:bCs/>
                <w:color w:val="auto"/>
                <w:sz w:val="18"/>
                <w:szCs w:val="18"/>
                <w:highlight w:val="none"/>
              </w:rPr>
              <w:t>□□□□□□□□□□□□□□□□□□</w:t>
            </w:r>
            <w:r>
              <w:rPr>
                <w:rFonts w:hint="eastAsia"/>
                <w:bCs/>
                <w:color w:val="auto"/>
                <w:sz w:val="18"/>
                <w:szCs w:val="18"/>
                <w:highlight w:val="none"/>
                <w:lang w:val="en-US" w:eastAsia="zh-CN"/>
              </w:rPr>
              <w:t xml:space="preserve">  </w:t>
            </w:r>
            <w:r>
              <w:rPr>
                <w:rFonts w:hint="eastAsia"/>
                <w:bCs/>
                <w:color w:val="auto"/>
                <w:sz w:val="18"/>
                <w:szCs w:val="18"/>
                <w:highlight w:val="none"/>
              </w:rPr>
              <w:t>或上级法人单位组织机构代码□□□□□□□□—□</w:t>
            </w:r>
          </w:p>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如上级法人为境外公司，请填写境外公司的名称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shd w:val="clear" w:color="auto" w:fill="D9D9D9"/>
            <w:noWrap w:val="0"/>
            <w:vAlign w:val="center"/>
          </w:tcPr>
          <w:p>
            <w:pPr>
              <w:snapToGrid w:val="0"/>
              <w:spacing w:line="280" w:lineRule="exact"/>
              <w:jc w:val="center"/>
              <w:rPr>
                <w:bCs/>
                <w:color w:val="auto"/>
                <w:sz w:val="18"/>
                <w:szCs w:val="18"/>
                <w:highlight w:val="none"/>
              </w:rPr>
            </w:pPr>
            <w:r>
              <w:rPr>
                <w:bCs/>
                <w:color w:val="auto"/>
                <w:sz w:val="18"/>
                <w:szCs w:val="18"/>
                <w:highlight w:val="none"/>
              </w:rPr>
              <w:t>QB11</w:t>
            </w:r>
          </w:p>
          <w:p>
            <w:pPr>
              <w:snapToGrid w:val="0"/>
              <w:spacing w:line="280" w:lineRule="exact"/>
              <w:jc w:val="center"/>
              <w:rPr>
                <w:bCs/>
                <w:color w:val="auto"/>
                <w:sz w:val="18"/>
                <w:szCs w:val="18"/>
                <w:highlight w:val="none"/>
              </w:rPr>
            </w:pPr>
            <w:r>
              <w:rPr>
                <w:bCs/>
                <w:color w:val="auto"/>
                <w:sz w:val="18"/>
                <w:szCs w:val="18"/>
                <w:highlight w:val="none"/>
              </w:rPr>
              <w:t>QB13</w:t>
            </w:r>
          </w:p>
          <w:p>
            <w:pPr>
              <w:snapToGrid w:val="0"/>
              <w:spacing w:line="280" w:lineRule="exact"/>
              <w:jc w:val="center"/>
              <w:rPr>
                <w:rFonts w:ascii="Times New Roman" w:hAnsi="Times New Roman"/>
                <w:bCs/>
                <w:color w:val="auto"/>
                <w:highlight w:val="none"/>
              </w:rPr>
            </w:pPr>
            <w:r>
              <w:rPr>
                <w:bCs/>
                <w:color w:val="auto"/>
                <w:sz w:val="18"/>
                <w:szCs w:val="18"/>
                <w:highlight w:val="none"/>
              </w:rPr>
              <w:t>QB12</w:t>
            </w:r>
          </w:p>
        </w:tc>
        <w:tc>
          <w:tcPr>
            <w:tcW w:w="8974" w:type="dxa"/>
            <w:tcBorders>
              <w:top w:val="single" w:color="auto" w:sz="4" w:space="0"/>
              <w:left w:val="single" w:color="auto" w:sz="2" w:space="0"/>
              <w:bottom w:val="single" w:color="auto" w:sz="4" w:space="0"/>
              <w:right w:val="nil"/>
            </w:tcBorders>
            <w:shd w:val="clear" w:color="auto" w:fill="D9D9D9"/>
            <w:noWrap w:val="0"/>
            <w:vAlign w:val="center"/>
          </w:tcPr>
          <w:p>
            <w:pPr>
              <w:snapToGrid w:val="0"/>
              <w:spacing w:line="280" w:lineRule="exact"/>
              <w:jc w:val="left"/>
              <w:rPr>
                <w:rFonts w:ascii="宋体" w:hAnsi="宋体" w:cs="宋体"/>
                <w:bCs/>
                <w:color w:val="auto"/>
                <w:sz w:val="18"/>
                <w:szCs w:val="18"/>
                <w:highlight w:val="none"/>
              </w:rPr>
            </w:pPr>
            <w:r>
              <w:rPr>
                <w:rFonts w:hint="eastAsia" w:ascii="宋体" w:hAnsi="宋体" w:cs="宋体"/>
                <w:bCs/>
                <w:color w:val="auto"/>
                <w:sz w:val="18"/>
                <w:szCs w:val="18"/>
                <w:highlight w:val="none"/>
              </w:rPr>
              <w:t>企业是否为</w:t>
            </w:r>
            <w:r>
              <w:rPr>
                <w:rFonts w:hint="eastAsia" w:ascii="Arial" w:hAnsi="Arial" w:cs="Arial"/>
                <w:bCs/>
                <w:color w:val="auto"/>
                <w:kern w:val="0"/>
                <w:sz w:val="18"/>
                <w:szCs w:val="18"/>
                <w:highlight w:val="none"/>
              </w:rPr>
              <w:t>经过认定的高新技术企业</w:t>
            </w:r>
            <w:r>
              <w:rPr>
                <w:rFonts w:hint="eastAsia" w:ascii="Arial" w:hAnsi="Arial" w:cs="Arial"/>
                <w:bCs/>
                <w:color w:val="auto"/>
                <w:spacing w:val="15"/>
                <w:kern w:val="0"/>
                <w:sz w:val="18"/>
                <w:szCs w:val="18"/>
                <w:highlight w:val="none"/>
              </w:rPr>
              <w:t>（</w:t>
            </w:r>
            <w:r>
              <w:rPr>
                <w:rFonts w:ascii="宋体" w:hAnsi="宋体" w:cs="宋体"/>
                <w:bCs/>
                <w:color w:val="auto"/>
                <w:sz w:val="18"/>
                <w:szCs w:val="18"/>
                <w:highlight w:val="none"/>
              </w:rPr>
              <w:t>QB11）</w:t>
            </w:r>
            <w:r>
              <w:rPr>
                <w:rFonts w:hint="eastAsia" w:ascii="宋体" w:hAnsi="宋体" w:cs="宋体"/>
                <w:bCs/>
                <w:color w:val="auto"/>
                <w:sz w:val="18"/>
                <w:szCs w:val="18"/>
                <w:highlight w:val="none"/>
                <w:lang w:eastAsia="zh-CN"/>
              </w:rPr>
              <w:t>□</w:t>
            </w:r>
            <w:r>
              <w:rPr>
                <w:rFonts w:ascii="宋体" w:hAnsi="宋体" w:cs="宋体"/>
                <w:bCs/>
                <w:color w:val="auto"/>
                <w:sz w:val="18"/>
                <w:szCs w:val="18"/>
                <w:highlight w:val="none"/>
              </w:rPr>
              <w:t xml:space="preserve">      1.是    2.否</w:t>
            </w:r>
            <w:r>
              <w:rPr>
                <w:rFonts w:hint="eastAsia" w:ascii="宋体" w:hAnsi="宋体" w:cs="宋体"/>
                <w:bCs/>
                <w:color w:val="auto"/>
                <w:sz w:val="18"/>
                <w:szCs w:val="18"/>
                <w:highlight w:val="none"/>
              </w:rPr>
              <w:t>（系统</w:t>
            </w:r>
            <w:r>
              <w:rPr>
                <w:rFonts w:ascii="宋体" w:hAnsi="宋体" w:cs="宋体"/>
                <w:bCs/>
                <w:color w:val="auto"/>
                <w:sz w:val="18"/>
                <w:szCs w:val="18"/>
                <w:highlight w:val="none"/>
              </w:rPr>
              <w:t>自动识别</w:t>
            </w:r>
            <w:r>
              <w:rPr>
                <w:rFonts w:hint="eastAsia" w:ascii="宋体" w:hAnsi="宋体" w:cs="宋体"/>
                <w:bCs/>
                <w:color w:val="auto"/>
                <w:sz w:val="18"/>
                <w:szCs w:val="18"/>
                <w:highlight w:val="none"/>
              </w:rPr>
              <w:t>）</w:t>
            </w:r>
          </w:p>
          <w:p>
            <w:pPr>
              <w:snapToGrid w:val="0"/>
              <w:spacing w:line="280" w:lineRule="exact"/>
              <w:rPr>
                <w:rFonts w:ascii="宋体" w:hAnsi="宋体" w:cs="宋体"/>
                <w:bCs/>
                <w:color w:val="auto"/>
                <w:sz w:val="18"/>
                <w:szCs w:val="18"/>
                <w:highlight w:val="none"/>
              </w:rPr>
            </w:pPr>
            <w:r>
              <w:rPr>
                <w:rFonts w:hint="eastAsia" w:ascii="宋体" w:hAnsi="宋体" w:cs="宋体"/>
                <w:bCs/>
                <w:color w:val="auto"/>
                <w:sz w:val="18"/>
                <w:szCs w:val="18"/>
                <w:highlight w:val="none"/>
              </w:rPr>
              <w:t>如是，高新技术企业认定证书编号（</w:t>
            </w:r>
            <w:r>
              <w:rPr>
                <w:rFonts w:ascii="宋体" w:hAnsi="宋体" w:cs="宋体"/>
                <w:bCs/>
                <w:color w:val="auto"/>
                <w:sz w:val="18"/>
                <w:szCs w:val="18"/>
                <w:highlight w:val="none"/>
              </w:rPr>
              <w:t xml:space="preserve">QB13）  </w:t>
            </w:r>
            <w:r>
              <w:rPr>
                <w:rFonts w:hint="eastAsia" w:ascii="宋体" w:hAnsi="宋体" w:cs="宋体"/>
                <w:bCs/>
                <w:color w:val="auto"/>
                <w:sz w:val="18"/>
                <w:szCs w:val="18"/>
                <w:highlight w:val="none"/>
              </w:rPr>
              <w:t>□□□□□□□□□□□□□□（系统</w:t>
            </w:r>
            <w:r>
              <w:rPr>
                <w:rFonts w:ascii="宋体" w:hAnsi="宋体" w:cs="宋体"/>
                <w:bCs/>
                <w:color w:val="auto"/>
                <w:sz w:val="18"/>
                <w:szCs w:val="18"/>
                <w:highlight w:val="none"/>
              </w:rPr>
              <w:t>自动识别</w:t>
            </w:r>
            <w:r>
              <w:rPr>
                <w:rFonts w:hint="eastAsia" w:ascii="宋体" w:hAnsi="宋体" w:cs="宋体"/>
                <w:bCs/>
                <w:color w:val="auto"/>
                <w:sz w:val="18"/>
                <w:szCs w:val="18"/>
                <w:highlight w:val="none"/>
              </w:rPr>
              <w:t>）</w:t>
            </w:r>
          </w:p>
          <w:p>
            <w:pPr>
              <w:snapToGrid w:val="0"/>
              <w:spacing w:line="280" w:lineRule="exact"/>
              <w:jc w:val="left"/>
              <w:rPr>
                <w:rFonts w:ascii="Times New Roman" w:hAnsi="Times New Roman"/>
                <w:bCs/>
                <w:color w:val="auto"/>
                <w:highlight w:val="none"/>
              </w:rPr>
            </w:pPr>
            <w:r>
              <w:rPr>
                <w:rFonts w:hint="eastAsia" w:ascii="Arial" w:hAnsi="Arial" w:cs="Arial"/>
                <w:bCs/>
                <w:color w:val="auto"/>
                <w:kern w:val="0"/>
                <w:sz w:val="18"/>
                <w:szCs w:val="18"/>
                <w:highlight w:val="none"/>
              </w:rPr>
              <w:t>企业被认定为高新技术企业的时间□□□□年</w:t>
            </w:r>
            <w:r>
              <w:rPr>
                <w:rFonts w:hint="eastAsia" w:ascii="宋体" w:hAnsi="宋体" w:cs="宋体"/>
                <w:bCs/>
                <w:color w:val="auto"/>
                <w:sz w:val="18"/>
                <w:szCs w:val="18"/>
                <w:highlight w:val="none"/>
              </w:rPr>
              <w:t>（系统</w:t>
            </w:r>
            <w:r>
              <w:rPr>
                <w:rFonts w:ascii="宋体" w:hAnsi="宋体" w:cs="宋体"/>
                <w:bCs/>
                <w:color w:val="auto"/>
                <w:sz w:val="18"/>
                <w:szCs w:val="18"/>
                <w:highlight w:val="none"/>
              </w:rPr>
              <w:t>自动识别</w:t>
            </w:r>
            <w:r>
              <w:rPr>
                <w:rFonts w:hint="eastAsia" w:ascii="宋体" w:hAnsi="宋体" w:cs="宋体"/>
                <w:bCs/>
                <w:color w:val="auto"/>
                <w:sz w:val="18"/>
                <w:szCs w:val="18"/>
                <w:highlight w:val="none"/>
              </w:rPr>
              <w:t>）</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bCs/>
                <w:color w:val="auto"/>
                <w:sz w:val="18"/>
                <w:szCs w:val="18"/>
                <w:highlight w:val="none"/>
              </w:rPr>
            </w:pPr>
            <w:r>
              <w:rPr>
                <w:bCs/>
                <w:color w:val="auto"/>
                <w:sz w:val="18"/>
                <w:szCs w:val="18"/>
                <w:highlight w:val="none"/>
              </w:rPr>
              <w:t>QB14</w:t>
            </w:r>
          </w:p>
          <w:p>
            <w:pPr>
              <w:snapToGrid w:val="0"/>
              <w:spacing w:line="280" w:lineRule="exact"/>
              <w:jc w:val="center"/>
              <w:rPr>
                <w:bCs/>
                <w:color w:val="auto"/>
                <w:sz w:val="18"/>
                <w:szCs w:val="18"/>
                <w:highlight w:val="none"/>
              </w:rPr>
            </w:pPr>
            <w:r>
              <w:rPr>
                <w:bCs/>
                <w:color w:val="auto"/>
                <w:sz w:val="18"/>
                <w:szCs w:val="18"/>
                <w:highlight w:val="none"/>
              </w:rPr>
              <w:t>QB14_1</w:t>
            </w:r>
          </w:p>
          <w:p>
            <w:pPr>
              <w:snapToGrid w:val="0"/>
              <w:spacing w:line="280" w:lineRule="exact"/>
              <w:jc w:val="center"/>
              <w:rPr>
                <w:rFonts w:ascii="Times New Roman" w:hAnsi="Times New Roman"/>
                <w:bCs/>
                <w:color w:val="auto"/>
                <w:sz w:val="18"/>
                <w:szCs w:val="18"/>
                <w:highlight w:val="none"/>
              </w:rPr>
            </w:pPr>
            <w:r>
              <w:rPr>
                <w:bCs/>
                <w:color w:val="auto"/>
                <w:sz w:val="18"/>
                <w:szCs w:val="18"/>
                <w:highlight w:val="none"/>
              </w:rPr>
              <w:t>QB14_2</w:t>
            </w:r>
          </w:p>
        </w:tc>
        <w:tc>
          <w:tcPr>
            <w:tcW w:w="8974" w:type="dxa"/>
            <w:tcBorders>
              <w:top w:val="single" w:color="auto" w:sz="4" w:space="0"/>
              <w:left w:val="single" w:color="auto" w:sz="2" w:space="0"/>
              <w:bottom w:val="single" w:color="auto" w:sz="4" w:space="0"/>
              <w:right w:val="nil"/>
            </w:tcBorders>
            <w:noWrap w:val="0"/>
            <w:vAlign w:val="center"/>
          </w:tcPr>
          <w:p>
            <w:pPr>
              <w:snapToGrid w:val="0"/>
              <w:spacing w:line="280" w:lineRule="exact"/>
              <w:jc w:val="left"/>
              <w:rPr>
                <w:bCs/>
                <w:color w:val="auto"/>
                <w:sz w:val="18"/>
                <w:szCs w:val="18"/>
                <w:highlight w:val="none"/>
              </w:rPr>
            </w:pPr>
            <w:r>
              <w:rPr>
                <w:rFonts w:hint="eastAsia"/>
                <w:bCs/>
                <w:color w:val="auto"/>
                <w:kern w:val="0"/>
                <w:sz w:val="18"/>
                <w:szCs w:val="18"/>
                <w:highlight w:val="none"/>
              </w:rPr>
              <w:t>与科技企业孵化器关系</w:t>
            </w:r>
            <w:r>
              <w:rPr>
                <w:rFonts w:ascii="宋体" w:hAnsi="宋体" w:eastAsia="宋体"/>
                <w:bCs/>
                <w:color w:val="auto"/>
                <w:spacing w:val="15"/>
                <w:kern w:val="0"/>
                <w:sz w:val="18"/>
                <w:szCs w:val="18"/>
                <w:highlight w:val="none"/>
              </w:rPr>
              <w:t>(</w:t>
            </w:r>
            <w:r>
              <w:rPr>
                <w:bCs/>
                <w:color w:val="auto"/>
                <w:sz w:val="18"/>
                <w:szCs w:val="18"/>
                <w:highlight w:val="none"/>
              </w:rPr>
              <w:t>QB14</w:t>
            </w:r>
            <w:r>
              <w:rPr>
                <w:rFonts w:ascii="宋体" w:hAnsi="宋体" w:eastAsia="宋体"/>
                <w:bCs/>
                <w:color w:val="auto"/>
                <w:sz w:val="18"/>
                <w:szCs w:val="18"/>
                <w:highlight w:val="none"/>
              </w:rPr>
              <w:t>)</w:t>
            </w:r>
            <w:r>
              <w:rPr>
                <w:rFonts w:hint="eastAsia"/>
                <w:bCs/>
                <w:color w:val="auto"/>
                <w:sz w:val="18"/>
                <w:szCs w:val="18"/>
                <w:highlight w:val="none"/>
              </w:rPr>
              <w:t>□</w:t>
            </w:r>
          </w:p>
          <w:p>
            <w:pPr>
              <w:snapToGrid w:val="0"/>
              <w:spacing w:line="280" w:lineRule="exact"/>
              <w:jc w:val="left"/>
              <w:rPr>
                <w:bCs/>
                <w:color w:val="auto"/>
                <w:sz w:val="18"/>
                <w:szCs w:val="18"/>
                <w:highlight w:val="none"/>
              </w:rPr>
            </w:pPr>
            <w:r>
              <w:rPr>
                <w:rFonts w:hint="eastAsia"/>
                <w:bCs/>
                <w:color w:val="auto"/>
                <w:sz w:val="18"/>
                <w:szCs w:val="18"/>
                <w:highlight w:val="none"/>
              </w:rPr>
              <w:t xml:space="preserve">      1.孵化器在孵企业入孵时间</w:t>
            </w:r>
            <w:r>
              <w:rPr>
                <w:rFonts w:hint="eastAsia" w:ascii="宋体" w:hAnsi="宋体" w:eastAsia="宋体"/>
                <w:bCs/>
                <w:color w:val="auto"/>
                <w:sz w:val="18"/>
                <w:szCs w:val="18"/>
                <w:highlight w:val="none"/>
              </w:rPr>
              <w:t>(</w:t>
            </w:r>
            <w:r>
              <w:rPr>
                <w:rFonts w:hint="eastAsia"/>
                <w:bCs/>
                <w:color w:val="auto"/>
                <w:sz w:val="18"/>
                <w:szCs w:val="18"/>
                <w:highlight w:val="none"/>
              </w:rPr>
              <w:t>QB14_1</w:t>
            </w:r>
            <w:r>
              <w:rPr>
                <w:rFonts w:hint="eastAsia" w:ascii="宋体" w:hAnsi="宋体" w:eastAsia="宋体"/>
                <w:bCs/>
                <w:color w:val="auto"/>
                <w:sz w:val="18"/>
                <w:szCs w:val="18"/>
                <w:highlight w:val="none"/>
              </w:rPr>
              <w:t>)</w:t>
            </w:r>
            <w:r>
              <w:rPr>
                <w:rFonts w:hint="eastAsia"/>
                <w:bCs/>
                <w:color w:val="auto"/>
                <w:sz w:val="18"/>
                <w:szCs w:val="18"/>
                <w:highlight w:val="none"/>
              </w:rPr>
              <w:t xml:space="preserve">  □□□□年</w:t>
            </w:r>
          </w:p>
          <w:p>
            <w:pPr>
              <w:snapToGrid w:val="0"/>
              <w:spacing w:line="280" w:lineRule="exact"/>
              <w:rPr>
                <w:bCs/>
                <w:color w:val="auto"/>
                <w:sz w:val="18"/>
                <w:szCs w:val="18"/>
                <w:highlight w:val="none"/>
              </w:rPr>
            </w:pPr>
            <w:r>
              <w:rPr>
                <w:rFonts w:hint="eastAsia"/>
                <w:bCs/>
                <w:color w:val="auto"/>
                <w:sz w:val="18"/>
                <w:szCs w:val="18"/>
                <w:highlight w:val="none"/>
              </w:rPr>
              <w:t xml:space="preserve">      2.孵化器毕业企业毕业时间</w:t>
            </w:r>
            <w:r>
              <w:rPr>
                <w:rFonts w:hint="eastAsia" w:ascii="宋体" w:hAnsi="宋体" w:eastAsia="宋体"/>
                <w:bCs/>
                <w:color w:val="auto"/>
                <w:sz w:val="18"/>
                <w:szCs w:val="18"/>
                <w:highlight w:val="none"/>
              </w:rPr>
              <w:t>(</w:t>
            </w:r>
            <w:r>
              <w:rPr>
                <w:rFonts w:hint="eastAsia"/>
                <w:bCs/>
                <w:color w:val="auto"/>
                <w:sz w:val="18"/>
                <w:szCs w:val="18"/>
                <w:highlight w:val="none"/>
              </w:rPr>
              <w:t>QB14_2</w:t>
            </w:r>
            <w:r>
              <w:rPr>
                <w:rFonts w:hint="eastAsia" w:ascii="宋体" w:hAnsi="宋体" w:eastAsia="宋体"/>
                <w:bCs/>
                <w:color w:val="auto"/>
                <w:sz w:val="18"/>
                <w:szCs w:val="18"/>
                <w:highlight w:val="none"/>
              </w:rPr>
              <w:t>)</w:t>
            </w:r>
            <w:r>
              <w:rPr>
                <w:rFonts w:hint="eastAsia"/>
                <w:bCs/>
                <w:color w:val="auto"/>
                <w:sz w:val="18"/>
                <w:szCs w:val="18"/>
                <w:highlight w:val="none"/>
              </w:rPr>
              <w:t xml:space="preserve">  □□□□年</w:t>
            </w:r>
          </w:p>
          <w:p>
            <w:pPr>
              <w:snapToGrid w:val="0"/>
              <w:spacing w:line="280" w:lineRule="exact"/>
              <w:rPr>
                <w:rFonts w:ascii="Times New Roman" w:hAnsi="Times New Roman"/>
                <w:bCs/>
                <w:color w:val="auto"/>
                <w:sz w:val="18"/>
                <w:szCs w:val="18"/>
                <w:highlight w:val="none"/>
              </w:rPr>
            </w:pPr>
            <w:r>
              <w:rPr>
                <w:rFonts w:hint="eastAsia"/>
                <w:bCs/>
                <w:color w:val="auto"/>
                <w:sz w:val="18"/>
                <w:szCs w:val="18"/>
                <w:highlight w:val="none"/>
              </w:rPr>
              <w:t xml:space="preserve">      3.与孵化器无关</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ind w:firstLine="90" w:firstLineChars="50"/>
              <w:jc w:val="center"/>
              <w:rPr>
                <w:bCs/>
                <w:color w:val="auto"/>
                <w:sz w:val="18"/>
                <w:szCs w:val="18"/>
                <w:highlight w:val="none"/>
              </w:rPr>
            </w:pPr>
            <w:r>
              <w:rPr>
                <w:bCs/>
                <w:color w:val="auto"/>
                <w:sz w:val="18"/>
                <w:szCs w:val="18"/>
                <w:highlight w:val="none"/>
              </w:rPr>
              <w:t>QB15</w:t>
            </w:r>
          </w:p>
          <w:p>
            <w:pPr>
              <w:pStyle w:val="2"/>
              <w:spacing w:after="0" w:line="280" w:lineRule="exact"/>
              <w:jc w:val="center"/>
              <w:rPr>
                <w:bCs/>
                <w:color w:val="auto"/>
                <w:highlight w:val="none"/>
              </w:rPr>
            </w:pPr>
          </w:p>
          <w:p>
            <w:pPr>
              <w:snapToGrid w:val="0"/>
              <w:spacing w:line="280" w:lineRule="exact"/>
              <w:jc w:val="center"/>
              <w:rPr>
                <w:bCs/>
                <w:color w:val="auto"/>
                <w:sz w:val="18"/>
                <w:szCs w:val="18"/>
                <w:highlight w:val="none"/>
              </w:rPr>
            </w:pPr>
            <w:r>
              <w:rPr>
                <w:bCs/>
                <w:color w:val="auto"/>
                <w:sz w:val="18"/>
                <w:szCs w:val="18"/>
                <w:highlight w:val="none"/>
              </w:rPr>
              <w:t>QB15_1</w:t>
            </w:r>
          </w:p>
          <w:p>
            <w:pPr>
              <w:pStyle w:val="2"/>
              <w:spacing w:after="0" w:line="280" w:lineRule="exact"/>
              <w:jc w:val="center"/>
              <w:rPr>
                <w:bCs/>
                <w:color w:val="auto"/>
                <w:highlight w:val="none"/>
              </w:rPr>
            </w:pPr>
          </w:p>
          <w:p>
            <w:pPr>
              <w:snapToGrid w:val="0"/>
              <w:spacing w:line="280" w:lineRule="exact"/>
              <w:jc w:val="center"/>
              <w:rPr>
                <w:bCs/>
                <w:color w:val="auto"/>
                <w:sz w:val="18"/>
                <w:szCs w:val="18"/>
                <w:highlight w:val="none"/>
              </w:rPr>
            </w:pPr>
            <w:r>
              <w:rPr>
                <w:bCs/>
                <w:color w:val="auto"/>
                <w:sz w:val="18"/>
                <w:szCs w:val="18"/>
                <w:highlight w:val="none"/>
              </w:rPr>
              <w:t>QB15_2</w:t>
            </w:r>
          </w:p>
          <w:p>
            <w:pPr>
              <w:snapToGrid w:val="0"/>
              <w:spacing w:line="280" w:lineRule="exact"/>
              <w:rPr>
                <w:rFonts w:ascii="Times New Roman" w:hAnsi="Times New Roman"/>
                <w:bCs/>
                <w:color w:val="auto"/>
                <w:highlight w:val="none"/>
              </w:rPr>
            </w:pPr>
            <w:r>
              <w:rPr>
                <w:bCs/>
                <w:color w:val="auto"/>
                <w:sz w:val="18"/>
                <w:szCs w:val="18"/>
                <w:highlight w:val="none"/>
              </w:rPr>
              <w:t>QB15_5</w:t>
            </w:r>
          </w:p>
        </w:tc>
        <w:tc>
          <w:tcPr>
            <w:tcW w:w="8974" w:type="dxa"/>
            <w:tcBorders>
              <w:top w:val="single" w:color="auto" w:sz="4" w:space="0"/>
              <w:left w:val="single" w:color="auto" w:sz="2" w:space="0"/>
              <w:bottom w:val="single" w:color="auto" w:sz="4" w:space="0"/>
              <w:right w:val="nil"/>
            </w:tcBorders>
            <w:noWrap w:val="0"/>
            <w:vAlign w:val="center"/>
          </w:tcPr>
          <w:p>
            <w:pPr>
              <w:pStyle w:val="2"/>
              <w:spacing w:after="0" w:line="280" w:lineRule="exact"/>
              <w:rPr>
                <w:bCs/>
                <w:color w:val="auto"/>
                <w:sz w:val="18"/>
                <w:szCs w:val="18"/>
                <w:highlight w:val="none"/>
              </w:rPr>
            </w:pPr>
            <w:r>
              <w:rPr>
                <w:rFonts w:hint="eastAsia"/>
                <w:bCs/>
                <w:color w:val="auto"/>
                <w:sz w:val="18"/>
                <w:szCs w:val="18"/>
                <w:highlight w:val="none"/>
              </w:rPr>
              <w:t>境外上市情况（QB15）□</w:t>
            </w:r>
            <w:r>
              <w:rPr>
                <w:rFonts w:hint="eastAsia"/>
                <w:bCs/>
                <w:color w:val="auto"/>
                <w:sz w:val="18"/>
                <w:szCs w:val="18"/>
                <w:highlight w:val="none"/>
                <w:lang w:val="en-US" w:eastAsia="zh-CN"/>
              </w:rPr>
              <w:t xml:space="preserve">    </w:t>
            </w:r>
            <w:r>
              <w:rPr>
                <w:rFonts w:hint="eastAsia"/>
                <w:bCs/>
                <w:color w:val="auto"/>
                <w:sz w:val="18"/>
                <w:szCs w:val="18"/>
                <w:highlight w:val="none"/>
              </w:rPr>
              <w:t>3.新加坡4.香港5.纳斯达克6.纽交所7.东京8.伦敦9其他海外市场</w:t>
            </w:r>
          </w:p>
          <w:p>
            <w:pPr>
              <w:pStyle w:val="2"/>
              <w:spacing w:after="0" w:line="280" w:lineRule="exact"/>
              <w:rPr>
                <w:bCs/>
                <w:color w:val="auto"/>
                <w:sz w:val="18"/>
                <w:szCs w:val="18"/>
                <w:highlight w:val="none"/>
              </w:rPr>
            </w:pPr>
            <w:r>
              <w:rPr>
                <w:rFonts w:hint="eastAsia"/>
                <w:bCs/>
                <w:color w:val="auto"/>
                <w:sz w:val="18"/>
                <w:szCs w:val="18"/>
                <w:highlight w:val="none"/>
              </w:rPr>
              <w:t>证券代码（QB15_1）</w:t>
            </w:r>
          </w:p>
          <w:p>
            <w:pPr>
              <w:snapToGrid w:val="0"/>
              <w:spacing w:line="280" w:lineRule="exact"/>
              <w:rPr>
                <w:rFonts w:hint="eastAsia"/>
                <w:bCs/>
                <w:color w:val="auto"/>
                <w:sz w:val="18"/>
                <w:szCs w:val="18"/>
                <w:highlight w:val="none"/>
              </w:rPr>
            </w:pPr>
            <w:r>
              <w:rPr>
                <w:rFonts w:hint="eastAsia"/>
                <w:bCs/>
                <w:color w:val="auto"/>
                <w:sz w:val="18"/>
                <w:szCs w:val="18"/>
                <w:highlight w:val="none"/>
              </w:rPr>
              <w:t xml:space="preserve">3.□□□.SG或者□□□□.SG    4.□□□□□.HK  </w:t>
            </w:r>
          </w:p>
          <w:p>
            <w:pPr>
              <w:snapToGrid w:val="0"/>
              <w:spacing w:line="280" w:lineRule="exact"/>
              <w:rPr>
                <w:bCs/>
                <w:color w:val="auto"/>
                <w:sz w:val="18"/>
                <w:szCs w:val="18"/>
                <w:highlight w:val="none"/>
              </w:rPr>
            </w:pPr>
            <w:r>
              <w:rPr>
                <w:rFonts w:hint="eastAsia"/>
                <w:bCs/>
                <w:color w:val="auto"/>
                <w:sz w:val="18"/>
                <w:szCs w:val="18"/>
                <w:highlight w:val="none"/>
              </w:rPr>
              <w:t xml:space="preserve">5.□□□□.O 或者□□□.O 或者□□.O 或者□□□□□.O </w:t>
            </w:r>
          </w:p>
          <w:p>
            <w:pPr>
              <w:snapToGrid w:val="0"/>
              <w:spacing w:line="280" w:lineRule="exact"/>
              <w:rPr>
                <w:bCs/>
                <w:color w:val="auto"/>
                <w:sz w:val="18"/>
                <w:szCs w:val="18"/>
                <w:highlight w:val="none"/>
              </w:rPr>
            </w:pPr>
            <w:r>
              <w:rPr>
                <w:rFonts w:hint="eastAsia"/>
                <w:bCs/>
                <w:color w:val="auto"/>
                <w:sz w:val="18"/>
                <w:szCs w:val="18"/>
                <w:highlight w:val="none"/>
              </w:rPr>
              <w:t>6.□□□□.N或者□□□.N或者□□.N</w:t>
            </w:r>
            <w:r>
              <w:rPr>
                <w:bCs/>
                <w:color w:val="auto"/>
                <w:sz w:val="18"/>
                <w:szCs w:val="18"/>
                <w:highlight w:val="none"/>
              </w:rPr>
              <w:t xml:space="preserve">  7. </w:t>
            </w:r>
            <w:r>
              <w:rPr>
                <w:rFonts w:hint="eastAsia"/>
                <w:bCs/>
                <w:color w:val="auto"/>
                <w:sz w:val="18"/>
                <w:szCs w:val="18"/>
                <w:highlight w:val="none"/>
              </w:rPr>
              <w:t>□□□□.T</w:t>
            </w:r>
            <w:r>
              <w:rPr>
                <w:bCs/>
                <w:color w:val="auto"/>
                <w:sz w:val="18"/>
                <w:szCs w:val="18"/>
                <w:highlight w:val="none"/>
              </w:rPr>
              <w:t xml:space="preserve">   8. </w:t>
            </w:r>
            <w:r>
              <w:rPr>
                <w:rFonts w:hint="eastAsia"/>
                <w:bCs/>
                <w:color w:val="auto"/>
                <w:sz w:val="18"/>
                <w:szCs w:val="18"/>
                <w:highlight w:val="none"/>
              </w:rPr>
              <w:t>□□□.L或者□□□□.L</w:t>
            </w:r>
            <w:r>
              <w:rPr>
                <w:bCs/>
                <w:color w:val="auto"/>
                <w:sz w:val="18"/>
                <w:szCs w:val="18"/>
                <w:highlight w:val="none"/>
              </w:rPr>
              <w:t xml:space="preserve">  </w:t>
            </w:r>
          </w:p>
          <w:p>
            <w:pPr>
              <w:snapToGrid w:val="0"/>
              <w:spacing w:line="280" w:lineRule="exact"/>
              <w:rPr>
                <w:bCs/>
                <w:color w:val="auto"/>
                <w:sz w:val="18"/>
                <w:szCs w:val="18"/>
                <w:highlight w:val="none"/>
              </w:rPr>
            </w:pPr>
            <w:r>
              <w:rPr>
                <w:rFonts w:hint="eastAsia"/>
                <w:bCs/>
                <w:color w:val="auto"/>
                <w:sz w:val="18"/>
                <w:szCs w:val="18"/>
                <w:highlight w:val="none"/>
              </w:rPr>
              <w:t>9.（代码+.市场字母标识）</w:t>
            </w:r>
          </w:p>
          <w:p>
            <w:pPr>
              <w:pStyle w:val="2"/>
              <w:spacing w:after="0" w:line="280" w:lineRule="exact"/>
              <w:rPr>
                <w:bCs/>
                <w:color w:val="auto"/>
                <w:sz w:val="18"/>
                <w:szCs w:val="18"/>
                <w:highlight w:val="none"/>
              </w:rPr>
            </w:pPr>
            <w:r>
              <w:rPr>
                <w:rFonts w:hint="eastAsia"/>
                <w:bCs/>
                <w:color w:val="auto"/>
                <w:sz w:val="18"/>
                <w:szCs w:val="18"/>
                <w:highlight w:val="none"/>
              </w:rPr>
              <w:t>上市时间（QB15_2）□□□□年</w:t>
            </w:r>
          </w:p>
          <w:p>
            <w:pPr>
              <w:pStyle w:val="2"/>
              <w:spacing w:after="0" w:line="280" w:lineRule="exact"/>
              <w:rPr>
                <w:rFonts w:ascii="Times New Roman" w:hAnsi="Times New Roman"/>
                <w:bCs/>
                <w:color w:val="auto"/>
                <w:highlight w:val="none"/>
              </w:rPr>
            </w:pPr>
            <w:r>
              <w:rPr>
                <w:rFonts w:hint="eastAsia"/>
                <w:bCs/>
                <w:color w:val="auto"/>
                <w:sz w:val="18"/>
                <w:szCs w:val="18"/>
                <w:highlight w:val="none"/>
              </w:rPr>
              <w:t>年末市值（QB15_5）千元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26" w:hRule="atLeast"/>
          <w:jc w:val="center"/>
        </w:trPr>
        <w:tc>
          <w:tcPr>
            <w:tcW w:w="881" w:type="dxa"/>
            <w:tcBorders>
              <w:top w:val="single" w:color="auto" w:sz="4" w:space="0"/>
              <w:left w:val="nil"/>
              <w:bottom w:val="single" w:color="auto" w:sz="2" w:space="0"/>
              <w:right w:val="single" w:color="auto" w:sz="2" w:space="0"/>
            </w:tcBorders>
            <w:noWrap w:val="0"/>
            <w:vAlign w:val="center"/>
          </w:tcPr>
          <w:p>
            <w:pPr>
              <w:snapToGrid w:val="0"/>
              <w:spacing w:line="280" w:lineRule="exact"/>
              <w:jc w:val="center"/>
              <w:rPr>
                <w:rFonts w:hint="eastAsia"/>
                <w:bCs/>
                <w:color w:val="auto"/>
                <w:sz w:val="18"/>
                <w:szCs w:val="18"/>
                <w:highlight w:val="none"/>
              </w:rPr>
            </w:pPr>
            <w:r>
              <w:rPr>
                <w:bCs/>
                <w:color w:val="auto"/>
                <w:sz w:val="18"/>
                <w:szCs w:val="18"/>
                <w:highlight w:val="none"/>
              </w:rPr>
              <w:t>QB16</w:t>
            </w:r>
          </w:p>
        </w:tc>
        <w:tc>
          <w:tcPr>
            <w:tcW w:w="8974" w:type="dxa"/>
            <w:tcBorders>
              <w:top w:val="single" w:color="auto" w:sz="4" w:space="0"/>
              <w:left w:val="single" w:color="auto" w:sz="2" w:space="0"/>
              <w:bottom w:val="single" w:color="auto" w:sz="2" w:space="0"/>
              <w:right w:val="nil"/>
            </w:tcBorders>
            <w:noWrap w:val="0"/>
            <w:vAlign w:val="center"/>
          </w:tcPr>
          <w:p>
            <w:pPr>
              <w:snapToGrid w:val="0"/>
              <w:spacing w:line="280" w:lineRule="exact"/>
              <w:rPr>
                <w:rFonts w:hint="eastAsia"/>
                <w:bCs/>
                <w:color w:val="auto"/>
                <w:sz w:val="18"/>
                <w:szCs w:val="18"/>
                <w:highlight w:val="none"/>
              </w:rPr>
            </w:pPr>
            <w:r>
              <w:rPr>
                <w:rFonts w:hint="eastAsia"/>
                <w:bCs/>
                <w:color w:val="auto"/>
                <w:sz w:val="18"/>
                <w:szCs w:val="18"/>
                <w:highlight w:val="none"/>
              </w:rPr>
              <w:t>企业所属技术领域□□□按照企业主营产品进行填报，只限一项</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26" w:hRule="atLeast"/>
          <w:jc w:val="center"/>
        </w:trPr>
        <w:tc>
          <w:tcPr>
            <w:tcW w:w="881" w:type="dxa"/>
            <w:tcBorders>
              <w:top w:val="single" w:color="auto" w:sz="2" w:space="0"/>
              <w:left w:val="nil"/>
              <w:bottom w:val="single" w:color="auto" w:sz="8" w:space="0"/>
              <w:right w:val="single" w:color="auto" w:sz="2" w:space="0"/>
            </w:tcBorders>
            <w:noWrap w:val="0"/>
            <w:vAlign w:val="center"/>
          </w:tcPr>
          <w:p>
            <w:pPr>
              <w:snapToGrid w:val="0"/>
              <w:spacing w:line="280" w:lineRule="exact"/>
              <w:jc w:val="center"/>
              <w:rPr>
                <w:rFonts w:hint="eastAsia"/>
                <w:bCs/>
                <w:color w:val="auto"/>
                <w:sz w:val="18"/>
                <w:szCs w:val="18"/>
                <w:highlight w:val="none"/>
              </w:rPr>
            </w:pPr>
            <w:r>
              <w:rPr>
                <w:bCs/>
                <w:color w:val="auto"/>
                <w:sz w:val="18"/>
                <w:szCs w:val="18"/>
                <w:highlight w:val="none"/>
              </w:rPr>
              <w:t>QB16_1</w:t>
            </w:r>
          </w:p>
        </w:tc>
        <w:tc>
          <w:tcPr>
            <w:tcW w:w="8974" w:type="dxa"/>
            <w:tcBorders>
              <w:top w:val="single" w:color="auto" w:sz="2" w:space="0"/>
              <w:left w:val="single" w:color="auto" w:sz="2" w:space="0"/>
              <w:bottom w:val="single" w:color="auto" w:sz="8" w:space="0"/>
              <w:right w:val="nil"/>
            </w:tcBorders>
            <w:noWrap w:val="0"/>
            <w:vAlign w:val="center"/>
          </w:tcPr>
          <w:p>
            <w:pPr>
              <w:snapToGrid w:val="0"/>
              <w:spacing w:line="280" w:lineRule="exact"/>
              <w:rPr>
                <w:rFonts w:hint="eastAsia"/>
                <w:bCs/>
                <w:color w:val="auto"/>
                <w:sz w:val="18"/>
                <w:szCs w:val="18"/>
                <w:highlight w:val="none"/>
              </w:rPr>
            </w:pPr>
            <w:r>
              <w:rPr>
                <w:rFonts w:hint="eastAsia"/>
                <w:bCs/>
                <w:color w:val="auto"/>
                <w:sz w:val="18"/>
                <w:szCs w:val="18"/>
                <w:highlight w:val="none"/>
              </w:rPr>
              <w:t>企业核心技术所属《国家重点支持的高新技术领域》□□□□□□</w:t>
            </w:r>
          </w:p>
        </w:tc>
      </w:tr>
    </w:tbl>
    <w:p>
      <w:pPr>
        <w:snapToGrid w:val="0"/>
        <w:spacing w:line="280" w:lineRule="exact"/>
        <w:rPr>
          <w:rFonts w:hint="eastAsia" w:ascii="Times New Roman" w:hAnsi="Times New Roman" w:eastAsia="宋体" w:cs="Times New Roman"/>
          <w:bCs/>
          <w:color w:val="auto"/>
          <w:sz w:val="18"/>
          <w:szCs w:val="18"/>
          <w:highlight w:val="none"/>
          <w:lang w:eastAsia="zh-CN"/>
        </w:rPr>
      </w:pPr>
    </w:p>
    <w:p>
      <w:pPr>
        <w:snapToGrid w:val="0"/>
        <w:spacing w:line="280" w:lineRule="exact"/>
        <w:rPr>
          <w:rFonts w:hint="eastAsia" w:ascii="Times New Roman" w:hAnsi="Times New Roman" w:eastAsia="宋体" w:cs="Times New Roman"/>
          <w:bCs/>
          <w:color w:val="auto"/>
          <w:sz w:val="18"/>
          <w:szCs w:val="18"/>
          <w:highlight w:val="none"/>
          <w:lang w:eastAsia="zh-CN"/>
        </w:rPr>
      </w:pPr>
      <w:r>
        <w:rPr>
          <w:rFonts w:hint="eastAsia" w:ascii="Times New Roman" w:hAnsi="Times New Roman" w:eastAsia="宋体" w:cs="Times New Roman"/>
          <w:bCs/>
          <w:color w:val="auto"/>
          <w:sz w:val="18"/>
          <w:szCs w:val="18"/>
          <w:highlight w:val="none"/>
          <w:lang w:eastAsia="zh-CN"/>
        </w:rPr>
        <w:t>续表二：</w:t>
      </w:r>
    </w:p>
    <w:tbl>
      <w:tblPr>
        <w:tblStyle w:val="9"/>
        <w:tblW w:w="9855"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881"/>
        <w:gridCol w:w="8974"/>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8" w:space="0"/>
              <w:left w:val="nil"/>
              <w:bottom w:val="single" w:color="auto" w:sz="4" w:space="0"/>
              <w:right w:val="single" w:color="auto" w:sz="2" w:space="0"/>
            </w:tcBorders>
            <w:noWrap w:val="0"/>
            <w:vAlign w:val="center"/>
          </w:tcPr>
          <w:p>
            <w:pPr>
              <w:snapToGrid w:val="0"/>
              <w:spacing w:line="280" w:lineRule="exact"/>
              <w:jc w:val="center"/>
              <w:rPr>
                <w:rFonts w:hint="eastAsia"/>
                <w:bCs/>
                <w:color w:val="auto"/>
                <w:kern w:val="2"/>
                <w:sz w:val="18"/>
                <w:szCs w:val="18"/>
                <w:highlight w:val="none"/>
                <w:lang w:val="en-US" w:eastAsia="zh-CN" w:bidi="ar-SA"/>
              </w:rPr>
            </w:pPr>
            <w:r>
              <w:rPr>
                <w:bCs/>
                <w:color w:val="auto"/>
                <w:sz w:val="18"/>
                <w:szCs w:val="18"/>
                <w:highlight w:val="none"/>
              </w:rPr>
              <w:t>QB16_</w:t>
            </w:r>
            <w:r>
              <w:rPr>
                <w:rFonts w:hint="eastAsia"/>
                <w:bCs/>
                <w:color w:val="auto"/>
                <w:sz w:val="18"/>
                <w:szCs w:val="18"/>
                <w:highlight w:val="none"/>
              </w:rPr>
              <w:t>2</w:t>
            </w:r>
          </w:p>
        </w:tc>
        <w:tc>
          <w:tcPr>
            <w:tcW w:w="8974" w:type="dxa"/>
            <w:tcBorders>
              <w:top w:val="single" w:color="auto" w:sz="8" w:space="0"/>
              <w:left w:val="single" w:color="auto" w:sz="2" w:space="0"/>
              <w:bottom w:val="single" w:color="auto" w:sz="4" w:space="0"/>
              <w:right w:val="nil"/>
            </w:tcBorders>
            <w:noWrap w:val="0"/>
            <w:vAlign w:val="center"/>
          </w:tcPr>
          <w:p>
            <w:pPr>
              <w:snapToGrid w:val="0"/>
              <w:spacing w:line="280" w:lineRule="exact"/>
              <w:rPr>
                <w:rFonts w:hint="eastAsia"/>
                <w:bCs/>
                <w:color w:val="auto"/>
                <w:kern w:val="2"/>
                <w:sz w:val="18"/>
                <w:szCs w:val="18"/>
                <w:highlight w:val="none"/>
                <w:lang w:val="en-US" w:eastAsia="zh-CN" w:bidi="ar-SA"/>
              </w:rPr>
            </w:pPr>
            <w:r>
              <w:rPr>
                <w:rFonts w:hint="eastAsia"/>
                <w:bCs/>
                <w:color w:val="auto"/>
                <w:sz w:val="18"/>
                <w:szCs w:val="18"/>
                <w:highlight w:val="none"/>
              </w:rPr>
              <w:t>企业所属战略性新兴产业领域□□□□□□</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rFonts w:hint="eastAsia"/>
                <w:bCs/>
                <w:color w:val="auto"/>
                <w:kern w:val="2"/>
                <w:sz w:val="18"/>
                <w:szCs w:val="18"/>
                <w:highlight w:val="none"/>
                <w:lang w:val="en-US" w:eastAsia="zh-CN" w:bidi="ar-SA"/>
              </w:rPr>
            </w:pPr>
            <w:r>
              <w:rPr>
                <w:rFonts w:hint="eastAsia"/>
                <w:bCs/>
                <w:color w:val="auto"/>
                <w:sz w:val="18"/>
                <w:szCs w:val="18"/>
                <w:highlight w:val="none"/>
              </w:rPr>
              <w:t>QB</w:t>
            </w:r>
            <w:r>
              <w:rPr>
                <w:bCs/>
                <w:color w:val="auto"/>
                <w:sz w:val="18"/>
                <w:szCs w:val="18"/>
                <w:highlight w:val="none"/>
              </w:rPr>
              <w:t>32</w:t>
            </w:r>
          </w:p>
        </w:tc>
        <w:tc>
          <w:tcPr>
            <w:tcW w:w="8974" w:type="dxa"/>
            <w:tcBorders>
              <w:top w:val="single" w:color="auto" w:sz="4" w:space="0"/>
              <w:left w:val="single" w:color="auto" w:sz="2" w:space="0"/>
              <w:bottom w:val="single" w:color="auto" w:sz="4" w:space="0"/>
              <w:right w:val="nil"/>
            </w:tcBorders>
            <w:noWrap w:val="0"/>
            <w:vAlign w:val="center"/>
          </w:tcPr>
          <w:p>
            <w:pPr>
              <w:snapToGrid w:val="0"/>
              <w:spacing w:line="280" w:lineRule="exact"/>
              <w:rPr>
                <w:rFonts w:hint="eastAsia"/>
                <w:bCs/>
                <w:color w:val="auto"/>
                <w:kern w:val="2"/>
                <w:sz w:val="18"/>
                <w:szCs w:val="18"/>
                <w:highlight w:val="none"/>
                <w:lang w:val="en-US" w:eastAsia="zh-CN" w:bidi="ar-SA"/>
              </w:rPr>
            </w:pPr>
            <w:r>
              <w:rPr>
                <w:rFonts w:hint="eastAsia"/>
                <w:bCs/>
                <w:color w:val="auto"/>
                <w:sz w:val="18"/>
                <w:szCs w:val="18"/>
                <w:highlight w:val="none"/>
              </w:rPr>
              <w:t>业务</w:t>
            </w:r>
            <w:r>
              <w:rPr>
                <w:bCs/>
                <w:color w:val="auto"/>
                <w:sz w:val="18"/>
                <w:szCs w:val="18"/>
                <w:highlight w:val="none"/>
              </w:rPr>
              <w:t>系统是否向云端迁移</w:t>
            </w:r>
            <w:r>
              <w:rPr>
                <w:rFonts w:hint="eastAsia"/>
                <w:bCs/>
                <w:color w:val="auto"/>
                <w:sz w:val="18"/>
                <w:szCs w:val="18"/>
                <w:highlight w:val="none"/>
              </w:rPr>
              <w:t xml:space="preserve">  □是     □否</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rFonts w:hint="eastAsia"/>
                <w:bCs/>
                <w:color w:val="auto"/>
                <w:kern w:val="2"/>
                <w:sz w:val="18"/>
                <w:szCs w:val="18"/>
                <w:highlight w:val="none"/>
                <w:lang w:val="en-US" w:eastAsia="zh-CN" w:bidi="ar-SA"/>
              </w:rPr>
            </w:pPr>
            <w:r>
              <w:rPr>
                <w:rFonts w:hint="eastAsia"/>
                <w:bCs/>
                <w:color w:val="auto"/>
                <w:sz w:val="18"/>
                <w:szCs w:val="18"/>
                <w:highlight w:val="none"/>
              </w:rPr>
              <w:t>QB</w:t>
            </w:r>
            <w:r>
              <w:rPr>
                <w:bCs/>
                <w:color w:val="auto"/>
                <w:sz w:val="18"/>
                <w:szCs w:val="18"/>
                <w:highlight w:val="none"/>
              </w:rPr>
              <w:t>3</w:t>
            </w:r>
            <w:r>
              <w:rPr>
                <w:rFonts w:hint="eastAsia"/>
                <w:bCs/>
                <w:color w:val="auto"/>
                <w:sz w:val="18"/>
                <w:szCs w:val="18"/>
                <w:highlight w:val="none"/>
                <w:lang w:eastAsia="zh-CN"/>
              </w:rPr>
              <w:t>8</w:t>
            </w:r>
          </w:p>
        </w:tc>
        <w:tc>
          <w:tcPr>
            <w:tcW w:w="8974" w:type="dxa"/>
            <w:tcBorders>
              <w:top w:val="single" w:color="auto" w:sz="4" w:space="0"/>
              <w:left w:val="single" w:color="auto" w:sz="2" w:space="0"/>
              <w:bottom w:val="single" w:color="auto" w:sz="4" w:space="0"/>
              <w:right w:val="nil"/>
            </w:tcBorders>
            <w:noWrap w:val="0"/>
            <w:vAlign w:val="center"/>
          </w:tcPr>
          <w:p>
            <w:pPr>
              <w:snapToGrid w:val="0"/>
              <w:spacing w:line="280" w:lineRule="exact"/>
              <w:rPr>
                <w:rFonts w:hint="eastAsia"/>
                <w:bCs/>
                <w:color w:val="auto"/>
                <w:kern w:val="2"/>
                <w:sz w:val="18"/>
                <w:szCs w:val="18"/>
                <w:highlight w:val="none"/>
                <w:lang w:val="en-US" w:eastAsia="zh-CN" w:bidi="ar-SA"/>
              </w:rPr>
            </w:pPr>
            <w:r>
              <w:rPr>
                <w:rFonts w:hint="eastAsia"/>
                <w:bCs/>
                <w:color w:val="auto"/>
                <w:sz w:val="18"/>
                <w:szCs w:val="18"/>
                <w:highlight w:val="none"/>
              </w:rPr>
              <w:t xml:space="preserve">是否拥有实体经济和数字经济融合相关试点、典型案例 </w:t>
            </w:r>
            <w:r>
              <w:rPr>
                <w:rFonts w:hint="eastAsia"/>
                <w:bCs/>
                <w:color w:val="auto"/>
                <w:sz w:val="18"/>
                <w:szCs w:val="18"/>
                <w:highlight w:val="none"/>
              </w:rPr>
              <w:tab/>
            </w:r>
            <w:r>
              <w:rPr>
                <w:rFonts w:hint="eastAsia"/>
                <w:bCs/>
                <w:color w:val="auto"/>
                <w:sz w:val="18"/>
                <w:szCs w:val="18"/>
                <w:highlight w:val="none"/>
              </w:rPr>
              <w:t>□是     □否</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4" w:space="0"/>
              <w:right w:val="single" w:color="auto" w:sz="2" w:space="0"/>
            </w:tcBorders>
            <w:noWrap w:val="0"/>
            <w:vAlign w:val="center"/>
          </w:tcPr>
          <w:p>
            <w:pPr>
              <w:snapToGrid w:val="0"/>
              <w:spacing w:line="280" w:lineRule="exact"/>
              <w:jc w:val="center"/>
              <w:rPr>
                <w:rFonts w:hint="default"/>
                <w:bCs/>
                <w:color w:val="auto"/>
                <w:sz w:val="18"/>
                <w:szCs w:val="18"/>
                <w:highlight w:val="none"/>
                <w:lang w:val="en-US" w:eastAsia="zh-CN"/>
              </w:rPr>
            </w:pPr>
            <w:r>
              <w:rPr>
                <w:rFonts w:hint="eastAsia"/>
                <w:bCs/>
                <w:color w:val="auto"/>
                <w:sz w:val="18"/>
                <w:szCs w:val="18"/>
                <w:highlight w:val="none"/>
              </w:rPr>
              <w:t>QB</w:t>
            </w:r>
            <w:r>
              <w:rPr>
                <w:rFonts w:hint="eastAsia"/>
                <w:bCs/>
                <w:color w:val="auto"/>
                <w:sz w:val="18"/>
                <w:szCs w:val="18"/>
                <w:highlight w:val="none"/>
                <w:lang w:val="en-US" w:eastAsia="zh-CN"/>
              </w:rPr>
              <w:t>34</w:t>
            </w:r>
          </w:p>
        </w:tc>
        <w:tc>
          <w:tcPr>
            <w:tcW w:w="8974" w:type="dxa"/>
            <w:tcBorders>
              <w:top w:val="single" w:color="auto" w:sz="4" w:space="0"/>
              <w:left w:val="single" w:color="auto" w:sz="2" w:space="0"/>
              <w:bottom w:val="single" w:color="auto" w:sz="4" w:space="0"/>
              <w:right w:val="nil"/>
            </w:tcBorders>
            <w:noWrap w:val="0"/>
            <w:vAlign w:val="center"/>
          </w:tcPr>
          <w:p>
            <w:pPr>
              <w:snapToGrid w:val="0"/>
              <w:spacing w:line="280" w:lineRule="exact"/>
              <w:rPr>
                <w:rFonts w:hint="eastAsia"/>
                <w:bCs/>
                <w:color w:val="auto"/>
                <w:sz w:val="18"/>
                <w:szCs w:val="18"/>
                <w:highlight w:val="none"/>
              </w:rPr>
            </w:pPr>
            <w:r>
              <w:rPr>
                <w:rFonts w:hint="eastAsia"/>
                <w:bCs/>
                <w:color w:val="auto"/>
                <w:sz w:val="18"/>
                <w:szCs w:val="18"/>
                <w:highlight w:val="none"/>
              </w:rPr>
              <w:t>企业</w:t>
            </w:r>
            <w:r>
              <w:rPr>
                <w:bCs/>
                <w:color w:val="auto"/>
                <w:sz w:val="18"/>
                <w:szCs w:val="18"/>
                <w:highlight w:val="none"/>
              </w:rPr>
              <w:t>是否</w:t>
            </w:r>
            <w:r>
              <w:rPr>
                <w:rFonts w:hint="eastAsia"/>
                <w:bCs/>
                <w:color w:val="auto"/>
                <w:sz w:val="18"/>
                <w:szCs w:val="18"/>
                <w:highlight w:val="none"/>
              </w:rPr>
              <w:t xml:space="preserve">进行数字化转型 </w:t>
            </w:r>
            <w:r>
              <w:rPr>
                <w:bCs/>
                <w:color w:val="auto"/>
                <w:sz w:val="18"/>
                <w:szCs w:val="18"/>
                <w:highlight w:val="none"/>
              </w:rPr>
              <w:t xml:space="preserve"> </w:t>
            </w:r>
            <w:r>
              <w:rPr>
                <w:rFonts w:hint="eastAsia"/>
                <w:bCs/>
                <w:color w:val="auto"/>
                <w:sz w:val="18"/>
                <w:szCs w:val="18"/>
                <w:highlight w:val="none"/>
              </w:rPr>
              <w:t>□是     □否</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4" w:space="0"/>
              <w:left w:val="nil"/>
              <w:bottom w:val="single" w:color="auto" w:sz="2" w:space="0"/>
              <w:right w:val="single" w:color="auto" w:sz="2" w:space="0"/>
            </w:tcBorders>
            <w:noWrap w:val="0"/>
            <w:vAlign w:val="center"/>
          </w:tcPr>
          <w:p>
            <w:pPr>
              <w:snapToGrid w:val="0"/>
              <w:spacing w:line="280" w:lineRule="exact"/>
              <w:jc w:val="center"/>
              <w:rPr>
                <w:rFonts w:hint="default"/>
                <w:bCs/>
                <w:color w:val="auto"/>
                <w:sz w:val="18"/>
                <w:szCs w:val="18"/>
                <w:highlight w:val="none"/>
                <w:lang w:val="en-US" w:eastAsia="zh-CN"/>
              </w:rPr>
            </w:pPr>
            <w:r>
              <w:rPr>
                <w:rFonts w:hint="eastAsia"/>
                <w:bCs/>
                <w:color w:val="auto"/>
                <w:sz w:val="18"/>
                <w:szCs w:val="18"/>
                <w:highlight w:val="none"/>
              </w:rPr>
              <w:t>QB</w:t>
            </w:r>
            <w:r>
              <w:rPr>
                <w:rFonts w:hint="eastAsia"/>
                <w:bCs/>
                <w:color w:val="auto"/>
                <w:sz w:val="18"/>
                <w:szCs w:val="18"/>
                <w:highlight w:val="none"/>
                <w:lang w:val="en-US" w:eastAsia="zh-CN"/>
              </w:rPr>
              <w:t>34_1</w:t>
            </w:r>
          </w:p>
        </w:tc>
        <w:tc>
          <w:tcPr>
            <w:tcW w:w="8974" w:type="dxa"/>
            <w:tcBorders>
              <w:top w:val="single" w:color="auto" w:sz="4" w:space="0"/>
              <w:left w:val="single" w:color="auto" w:sz="2" w:space="0"/>
              <w:bottom w:val="single" w:color="auto" w:sz="2" w:space="0"/>
              <w:right w:val="nil"/>
            </w:tcBorders>
            <w:noWrap w:val="0"/>
            <w:vAlign w:val="center"/>
          </w:tcPr>
          <w:p>
            <w:pPr>
              <w:snapToGrid w:val="0"/>
              <w:spacing w:line="280" w:lineRule="exact"/>
              <w:rPr>
                <w:rFonts w:hint="eastAsia"/>
                <w:bCs/>
                <w:color w:val="auto"/>
                <w:sz w:val="18"/>
                <w:szCs w:val="18"/>
                <w:highlight w:val="none"/>
              </w:rPr>
            </w:pPr>
            <w:r>
              <w:rPr>
                <w:rFonts w:hint="eastAsia"/>
                <w:bCs/>
                <w:color w:val="auto"/>
                <w:sz w:val="18"/>
                <w:szCs w:val="18"/>
                <w:highlight w:val="none"/>
              </w:rPr>
              <w:t>如</w:t>
            </w:r>
            <w:r>
              <w:rPr>
                <w:bCs/>
                <w:color w:val="auto"/>
                <w:sz w:val="18"/>
                <w:szCs w:val="18"/>
                <w:highlight w:val="none"/>
              </w:rPr>
              <w:t>是，请明确</w:t>
            </w:r>
            <w:r>
              <w:rPr>
                <w:rFonts w:hint="eastAsia"/>
                <w:bCs/>
                <w:color w:val="auto"/>
                <w:sz w:val="18"/>
                <w:szCs w:val="18"/>
                <w:highlight w:val="none"/>
              </w:rPr>
              <w:t>本年用于</w:t>
            </w:r>
            <w:r>
              <w:rPr>
                <w:bCs/>
                <w:color w:val="auto"/>
                <w:sz w:val="18"/>
                <w:szCs w:val="18"/>
                <w:highlight w:val="none"/>
              </w:rPr>
              <w:t>数字化转型的</w:t>
            </w:r>
            <w:r>
              <w:rPr>
                <w:rFonts w:hint="eastAsia"/>
                <w:bCs/>
                <w:color w:val="auto"/>
                <w:sz w:val="18"/>
                <w:szCs w:val="18"/>
                <w:highlight w:val="none"/>
              </w:rPr>
              <w:t>经费投入__________千元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2" w:space="0"/>
              <w:left w:val="nil"/>
              <w:bottom w:val="single" w:color="auto" w:sz="2" w:space="0"/>
              <w:right w:val="single" w:color="auto" w:sz="2" w:space="0"/>
            </w:tcBorders>
            <w:noWrap w:val="0"/>
            <w:vAlign w:val="center"/>
          </w:tcPr>
          <w:p>
            <w:pPr>
              <w:snapToGrid w:val="0"/>
              <w:spacing w:line="280" w:lineRule="exact"/>
              <w:jc w:val="center"/>
              <w:rPr>
                <w:rFonts w:hint="eastAsia"/>
                <w:bCs/>
                <w:color w:val="auto"/>
                <w:sz w:val="18"/>
                <w:szCs w:val="18"/>
                <w:highlight w:val="none"/>
                <w:lang w:val="en-US" w:eastAsia="zh-CN"/>
              </w:rPr>
            </w:pPr>
            <w:r>
              <w:rPr>
                <w:rFonts w:hint="eastAsia"/>
                <w:bCs/>
                <w:color w:val="auto"/>
                <w:sz w:val="18"/>
                <w:szCs w:val="18"/>
                <w:highlight w:val="none"/>
              </w:rPr>
              <w:t>QB</w:t>
            </w:r>
            <w:r>
              <w:rPr>
                <w:rFonts w:hint="eastAsia"/>
                <w:bCs/>
                <w:color w:val="auto"/>
                <w:sz w:val="18"/>
                <w:szCs w:val="18"/>
                <w:highlight w:val="none"/>
                <w:lang w:val="en-US" w:eastAsia="zh-CN"/>
              </w:rPr>
              <w:t>35</w:t>
            </w:r>
          </w:p>
        </w:tc>
        <w:tc>
          <w:tcPr>
            <w:tcW w:w="8974" w:type="dxa"/>
            <w:tcBorders>
              <w:top w:val="single" w:color="auto" w:sz="2" w:space="0"/>
              <w:left w:val="single" w:color="auto" w:sz="2" w:space="0"/>
              <w:bottom w:val="single" w:color="auto" w:sz="2" w:space="0"/>
              <w:right w:val="nil"/>
            </w:tcBorders>
            <w:noWrap w:val="0"/>
            <w:vAlign w:val="center"/>
          </w:tcPr>
          <w:p>
            <w:pPr>
              <w:snapToGrid w:val="0"/>
              <w:spacing w:line="280" w:lineRule="exact"/>
              <w:rPr>
                <w:rFonts w:hint="eastAsia"/>
                <w:bCs/>
                <w:color w:val="auto"/>
                <w:sz w:val="18"/>
                <w:szCs w:val="18"/>
                <w:highlight w:val="none"/>
              </w:rPr>
            </w:pPr>
            <w:r>
              <w:rPr>
                <w:rFonts w:hint="eastAsia"/>
                <w:bCs/>
                <w:color w:val="auto"/>
                <w:sz w:val="18"/>
                <w:szCs w:val="18"/>
                <w:highlight w:val="none"/>
              </w:rPr>
              <w:t>企业</w:t>
            </w:r>
            <w:r>
              <w:rPr>
                <w:bCs/>
                <w:color w:val="auto"/>
                <w:sz w:val="18"/>
                <w:szCs w:val="18"/>
                <w:highlight w:val="none"/>
              </w:rPr>
              <w:t>拥有工业机器人数量</w:t>
            </w:r>
            <w:r>
              <w:rPr>
                <w:rFonts w:hint="eastAsia"/>
                <w:bCs/>
                <w:color w:val="auto"/>
                <w:sz w:val="18"/>
                <w:szCs w:val="18"/>
                <w:highlight w:val="none"/>
              </w:rPr>
              <w:t>_______个</w:t>
            </w:r>
            <w:r>
              <w:rPr>
                <w:bCs/>
                <w:color w:val="auto"/>
                <w:sz w:val="18"/>
                <w:szCs w:val="18"/>
                <w:highlight w:val="none"/>
              </w:rPr>
              <w:t>（</w:t>
            </w:r>
            <w:r>
              <w:rPr>
                <w:rFonts w:hint="eastAsia"/>
                <w:bCs/>
                <w:color w:val="auto"/>
                <w:sz w:val="18"/>
                <w:szCs w:val="18"/>
                <w:highlight w:val="none"/>
              </w:rPr>
              <w:t>仅</w:t>
            </w:r>
            <w:r>
              <w:rPr>
                <w:bCs/>
                <w:color w:val="auto"/>
                <w:sz w:val="18"/>
                <w:szCs w:val="18"/>
                <w:highlight w:val="none"/>
              </w:rPr>
              <w:t>工业企业填报）</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2" w:space="0"/>
              <w:left w:val="nil"/>
              <w:bottom w:val="single" w:color="auto" w:sz="2" w:space="0"/>
              <w:right w:val="single" w:color="auto" w:sz="2" w:space="0"/>
            </w:tcBorders>
            <w:noWrap w:val="0"/>
            <w:vAlign w:val="center"/>
          </w:tcPr>
          <w:p>
            <w:pPr>
              <w:snapToGrid w:val="0"/>
              <w:spacing w:line="280" w:lineRule="exact"/>
              <w:jc w:val="center"/>
              <w:rPr>
                <w:rFonts w:hint="eastAsia"/>
                <w:bCs/>
                <w:color w:val="auto"/>
                <w:sz w:val="18"/>
                <w:szCs w:val="18"/>
                <w:highlight w:val="none"/>
              </w:rPr>
            </w:pPr>
            <w:r>
              <w:rPr>
                <w:rFonts w:hint="eastAsia"/>
                <w:bCs/>
                <w:color w:val="auto"/>
                <w:sz w:val="18"/>
                <w:szCs w:val="18"/>
                <w:highlight w:val="none"/>
              </w:rPr>
              <w:t>QB</w:t>
            </w:r>
            <w:r>
              <w:rPr>
                <w:rFonts w:hint="eastAsia"/>
                <w:bCs/>
                <w:color w:val="auto"/>
                <w:sz w:val="18"/>
                <w:szCs w:val="18"/>
                <w:highlight w:val="none"/>
                <w:lang w:val="en-US" w:eastAsia="zh-CN"/>
              </w:rPr>
              <w:t>36</w:t>
            </w:r>
          </w:p>
        </w:tc>
        <w:tc>
          <w:tcPr>
            <w:tcW w:w="8974" w:type="dxa"/>
            <w:tcBorders>
              <w:top w:val="single" w:color="auto" w:sz="2" w:space="0"/>
              <w:left w:val="single" w:color="auto" w:sz="2" w:space="0"/>
              <w:bottom w:val="single" w:color="auto" w:sz="2" w:space="0"/>
              <w:right w:val="nil"/>
            </w:tcBorders>
            <w:noWrap w:val="0"/>
            <w:vAlign w:val="center"/>
          </w:tcPr>
          <w:p>
            <w:pPr>
              <w:snapToGrid w:val="0"/>
              <w:spacing w:line="280" w:lineRule="exact"/>
              <w:rPr>
                <w:rFonts w:hint="default" w:eastAsia="宋体"/>
                <w:bCs/>
                <w:color w:val="auto"/>
                <w:sz w:val="18"/>
                <w:szCs w:val="18"/>
                <w:highlight w:val="none"/>
                <w:lang w:val="en-US" w:eastAsia="zh-CN"/>
              </w:rPr>
            </w:pPr>
            <w:r>
              <w:rPr>
                <w:rFonts w:hint="eastAsia"/>
                <w:bCs/>
                <w:color w:val="auto"/>
                <w:sz w:val="18"/>
                <w:szCs w:val="18"/>
                <w:highlight w:val="none"/>
                <w:lang w:eastAsia="zh-CN"/>
              </w:rPr>
              <w:t>企业是否建立企业研发准备金</w:t>
            </w:r>
            <w:r>
              <w:rPr>
                <w:rFonts w:hint="eastAsia"/>
                <w:bCs/>
                <w:color w:val="auto"/>
                <w:sz w:val="18"/>
                <w:szCs w:val="18"/>
                <w:highlight w:val="none"/>
              </w:rPr>
              <w:t xml:space="preserve"> </w:t>
            </w:r>
            <w:r>
              <w:rPr>
                <w:bCs/>
                <w:color w:val="auto"/>
                <w:sz w:val="18"/>
                <w:szCs w:val="18"/>
                <w:highlight w:val="none"/>
              </w:rPr>
              <w:t xml:space="preserve"> </w:t>
            </w:r>
            <w:r>
              <w:rPr>
                <w:rFonts w:hint="eastAsia"/>
                <w:bCs/>
                <w:color w:val="auto"/>
                <w:sz w:val="18"/>
                <w:szCs w:val="18"/>
                <w:highlight w:val="none"/>
              </w:rPr>
              <w:t>□是     □否</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2" w:space="0"/>
              <w:left w:val="nil"/>
              <w:bottom w:val="single" w:color="auto" w:sz="2" w:space="0"/>
              <w:right w:val="single" w:color="auto" w:sz="2" w:space="0"/>
            </w:tcBorders>
            <w:noWrap w:val="0"/>
            <w:vAlign w:val="center"/>
          </w:tcPr>
          <w:p>
            <w:pPr>
              <w:snapToGrid w:val="0"/>
              <w:spacing w:line="280" w:lineRule="exact"/>
              <w:jc w:val="center"/>
              <w:rPr>
                <w:rFonts w:hint="eastAsia"/>
                <w:bCs/>
                <w:color w:val="auto"/>
                <w:sz w:val="18"/>
                <w:szCs w:val="18"/>
                <w:highlight w:val="none"/>
              </w:rPr>
            </w:pPr>
            <w:r>
              <w:rPr>
                <w:rFonts w:hint="eastAsia"/>
                <w:bCs/>
                <w:color w:val="auto"/>
                <w:sz w:val="18"/>
                <w:szCs w:val="18"/>
                <w:highlight w:val="none"/>
              </w:rPr>
              <w:t>QB</w:t>
            </w:r>
            <w:r>
              <w:rPr>
                <w:rFonts w:hint="eastAsia"/>
                <w:bCs/>
                <w:color w:val="auto"/>
                <w:sz w:val="18"/>
                <w:szCs w:val="18"/>
                <w:highlight w:val="none"/>
                <w:lang w:val="en-US" w:eastAsia="zh-CN"/>
              </w:rPr>
              <w:t>37</w:t>
            </w:r>
          </w:p>
        </w:tc>
        <w:tc>
          <w:tcPr>
            <w:tcW w:w="8974" w:type="dxa"/>
            <w:tcBorders>
              <w:top w:val="single" w:color="auto" w:sz="2" w:space="0"/>
              <w:left w:val="single" w:color="auto" w:sz="2" w:space="0"/>
              <w:bottom w:val="single" w:color="auto" w:sz="2" w:space="0"/>
              <w:right w:val="nil"/>
            </w:tcBorders>
            <w:noWrap w:val="0"/>
            <w:vAlign w:val="center"/>
          </w:tcPr>
          <w:p>
            <w:pPr>
              <w:snapToGrid w:val="0"/>
              <w:spacing w:line="280" w:lineRule="exact"/>
              <w:rPr>
                <w:rFonts w:hint="eastAsia" w:eastAsia="宋体"/>
                <w:bCs/>
                <w:color w:val="auto"/>
                <w:sz w:val="18"/>
                <w:szCs w:val="18"/>
                <w:highlight w:val="none"/>
                <w:lang w:eastAsia="zh-CN"/>
              </w:rPr>
            </w:pPr>
            <w:r>
              <w:rPr>
                <w:rFonts w:hint="eastAsia"/>
                <w:bCs/>
                <w:color w:val="auto"/>
                <w:sz w:val="18"/>
                <w:szCs w:val="18"/>
                <w:highlight w:val="none"/>
                <w:lang w:eastAsia="zh-CN"/>
              </w:rPr>
              <w:t>企业是否通过质量</w:t>
            </w:r>
            <w:r>
              <w:rPr>
                <w:rFonts w:hint="eastAsia"/>
                <w:bCs/>
                <w:color w:val="auto"/>
                <w:sz w:val="18"/>
                <w:szCs w:val="18"/>
                <w:highlight w:val="none"/>
                <w:lang w:val="en-US" w:eastAsia="zh-CN"/>
              </w:rPr>
              <w:t>管理</w:t>
            </w:r>
            <w:r>
              <w:rPr>
                <w:rFonts w:hint="eastAsia"/>
                <w:bCs/>
                <w:color w:val="auto"/>
                <w:sz w:val="18"/>
                <w:szCs w:val="18"/>
                <w:highlight w:val="none"/>
                <w:lang w:eastAsia="zh-CN"/>
              </w:rPr>
              <w:t>体系认证</w:t>
            </w:r>
            <w:r>
              <w:rPr>
                <w:rFonts w:hint="eastAsia"/>
                <w:bCs/>
                <w:color w:val="auto"/>
                <w:sz w:val="18"/>
                <w:szCs w:val="18"/>
                <w:highlight w:val="none"/>
              </w:rPr>
              <w:t xml:space="preserve"> </w:t>
            </w:r>
            <w:r>
              <w:rPr>
                <w:bCs/>
                <w:color w:val="auto"/>
                <w:sz w:val="18"/>
                <w:szCs w:val="18"/>
                <w:highlight w:val="none"/>
              </w:rPr>
              <w:t xml:space="preserve"> </w:t>
            </w:r>
            <w:r>
              <w:rPr>
                <w:rFonts w:hint="eastAsia"/>
                <w:bCs/>
                <w:color w:val="auto"/>
                <w:sz w:val="18"/>
                <w:szCs w:val="18"/>
                <w:highlight w:val="none"/>
              </w:rPr>
              <w:t>□是     □否</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97" w:hRule="atLeast"/>
          <w:jc w:val="center"/>
        </w:trPr>
        <w:tc>
          <w:tcPr>
            <w:tcW w:w="881" w:type="dxa"/>
            <w:tcBorders>
              <w:top w:val="single" w:color="auto" w:sz="2" w:space="0"/>
              <w:left w:val="nil"/>
              <w:bottom w:val="single" w:color="auto" w:sz="8" w:space="0"/>
              <w:right w:val="single" w:color="auto" w:sz="2" w:space="0"/>
            </w:tcBorders>
            <w:noWrap w:val="0"/>
            <w:vAlign w:val="center"/>
          </w:tcPr>
          <w:p>
            <w:pPr>
              <w:snapToGrid w:val="0"/>
              <w:spacing w:line="280" w:lineRule="exact"/>
              <w:jc w:val="center"/>
              <w:rPr>
                <w:rFonts w:hint="default"/>
                <w:bCs/>
                <w:color w:val="auto"/>
                <w:sz w:val="18"/>
                <w:szCs w:val="18"/>
                <w:highlight w:val="none"/>
                <w:lang w:val="en-US"/>
              </w:rPr>
            </w:pPr>
            <w:r>
              <w:rPr>
                <w:rFonts w:hint="eastAsia"/>
                <w:bCs/>
                <w:color w:val="auto"/>
                <w:sz w:val="18"/>
                <w:szCs w:val="18"/>
                <w:highlight w:val="none"/>
              </w:rPr>
              <w:t>QB</w:t>
            </w:r>
            <w:r>
              <w:rPr>
                <w:rFonts w:hint="eastAsia"/>
                <w:bCs/>
                <w:color w:val="auto"/>
                <w:sz w:val="18"/>
                <w:szCs w:val="18"/>
                <w:highlight w:val="none"/>
                <w:lang w:val="en-US" w:eastAsia="zh-CN"/>
              </w:rPr>
              <w:t>37_1</w:t>
            </w:r>
          </w:p>
        </w:tc>
        <w:tc>
          <w:tcPr>
            <w:tcW w:w="8974" w:type="dxa"/>
            <w:tcBorders>
              <w:top w:val="single" w:color="auto" w:sz="2" w:space="0"/>
              <w:left w:val="single" w:color="auto" w:sz="2" w:space="0"/>
              <w:bottom w:val="single" w:color="auto" w:sz="8" w:space="0"/>
              <w:right w:val="nil"/>
            </w:tcBorders>
            <w:noWrap w:val="0"/>
            <w:vAlign w:val="center"/>
          </w:tcPr>
          <w:p>
            <w:pPr>
              <w:snapToGrid w:val="0"/>
              <w:spacing w:line="280" w:lineRule="exact"/>
              <w:rPr>
                <w:rFonts w:hint="default"/>
                <w:bCs/>
                <w:color w:val="auto"/>
                <w:sz w:val="18"/>
                <w:szCs w:val="18"/>
                <w:highlight w:val="none"/>
                <w:lang w:val="en-US" w:eastAsia="zh-CN"/>
              </w:rPr>
            </w:pPr>
            <w:r>
              <w:rPr>
                <w:rFonts w:hint="eastAsia"/>
                <w:bCs/>
                <w:color w:val="auto"/>
                <w:sz w:val="18"/>
                <w:szCs w:val="18"/>
                <w:highlight w:val="none"/>
                <w:lang w:eastAsia="zh-CN"/>
              </w:rPr>
              <w:t>如通过质量管理体系认证，</w:t>
            </w:r>
            <w:r>
              <w:rPr>
                <w:rFonts w:hint="eastAsia"/>
                <w:bCs/>
                <w:color w:val="auto"/>
                <w:sz w:val="18"/>
                <w:szCs w:val="18"/>
                <w:highlight w:val="none"/>
                <w:lang w:val="en-US" w:eastAsia="zh-CN"/>
              </w:rPr>
              <w:t>适用标准为       ，证书编号为        。</w:t>
            </w:r>
          </w:p>
        </w:tc>
      </w:tr>
    </w:tbl>
    <w:p>
      <w:pPr>
        <w:spacing w:line="400" w:lineRule="exact"/>
        <w:rPr>
          <w:rFonts w:ascii="Times New Roman" w:hAnsi="Times New Roman"/>
          <w:bCs/>
          <w:color w:val="auto"/>
          <w:sz w:val="18"/>
          <w:szCs w:val="24"/>
          <w:highlight w:val="none"/>
        </w:rPr>
      </w:pPr>
      <w:r>
        <w:rPr>
          <w:rFonts w:hint="eastAsia"/>
          <w:bCs/>
          <w:color w:val="auto"/>
          <w:sz w:val="18"/>
          <w:highlight w:val="none"/>
        </w:rPr>
        <w:t>单位负责人: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统计负责人: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填表人: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 xml:space="preserve"> 联系电话:</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报出日期:20</w:t>
      </w:r>
      <w:r>
        <w:rPr>
          <w:rFonts w:hint="eastAsia"/>
          <w:bCs/>
          <w:color w:val="auto"/>
          <w:sz w:val="18"/>
          <w:highlight w:val="none"/>
          <w:u w:val="single"/>
        </w:rPr>
        <w:t xml:space="preserve">  </w:t>
      </w:r>
      <w:r>
        <w:rPr>
          <w:rFonts w:hint="eastAsia"/>
          <w:bCs/>
          <w:color w:val="auto"/>
          <w:sz w:val="18"/>
          <w:highlight w:val="none"/>
        </w:rPr>
        <w:t>年</w:t>
      </w:r>
      <w:r>
        <w:rPr>
          <w:rFonts w:hint="eastAsia"/>
          <w:bCs/>
          <w:color w:val="auto"/>
          <w:sz w:val="18"/>
          <w:highlight w:val="none"/>
          <w:u w:val="single"/>
        </w:rPr>
        <w:t xml:space="preserve">  </w:t>
      </w:r>
      <w:r>
        <w:rPr>
          <w:rFonts w:hint="eastAsia"/>
          <w:bCs/>
          <w:color w:val="auto"/>
          <w:sz w:val="18"/>
          <w:highlight w:val="none"/>
        </w:rPr>
        <w:t>月</w:t>
      </w:r>
      <w:r>
        <w:rPr>
          <w:rFonts w:hint="eastAsia"/>
          <w:bCs/>
          <w:color w:val="auto"/>
          <w:sz w:val="18"/>
          <w:highlight w:val="none"/>
          <w:u w:val="single"/>
        </w:rPr>
        <w:t xml:space="preserve">  </w:t>
      </w:r>
      <w:r>
        <w:rPr>
          <w:rFonts w:hint="eastAsia"/>
          <w:bCs/>
          <w:color w:val="auto"/>
          <w:sz w:val="18"/>
          <w:highlight w:val="none"/>
        </w:rPr>
        <w:t>日</w:t>
      </w:r>
    </w:p>
    <w:p>
      <w:pPr>
        <w:spacing w:line="360" w:lineRule="exact"/>
        <w:rPr>
          <w:rFonts w:ascii="Times New Roman" w:hAnsi="Times New Roman"/>
          <w:bCs/>
          <w:color w:val="auto"/>
          <w:highlight w:val="none"/>
        </w:rPr>
      </w:pPr>
    </w:p>
    <w:p>
      <w:pPr>
        <w:widowControl/>
        <w:spacing w:line="360" w:lineRule="exact"/>
        <w:ind w:left="720" w:hanging="723" w:hangingChars="400"/>
        <w:jc w:val="left"/>
        <w:rPr>
          <w:rFonts w:ascii="Times New Roman" w:hAnsi="Times New Roman"/>
          <w:b/>
          <w:bCs w:val="0"/>
          <w:color w:val="auto"/>
          <w:sz w:val="18"/>
          <w:szCs w:val="18"/>
          <w:highlight w:val="none"/>
        </w:rPr>
      </w:pPr>
      <w:r>
        <w:rPr>
          <w:rFonts w:ascii="Times New Roman" w:hAnsi="Times New Roman"/>
          <w:b/>
          <w:bCs w:val="0"/>
          <w:color w:val="auto"/>
          <w:sz w:val="18"/>
          <w:szCs w:val="18"/>
          <w:highlight w:val="none"/>
        </w:rPr>
        <w:t>说明：</w:t>
      </w:r>
      <w:r>
        <w:rPr>
          <w:rFonts w:ascii="Times New Roman" w:hAnsi="Times New Roman"/>
          <w:b/>
          <w:bCs w:val="0"/>
          <w:color w:val="auto"/>
          <w:spacing w:val="-4"/>
          <w:sz w:val="18"/>
          <w:szCs w:val="18"/>
          <w:highlight w:val="none"/>
        </w:rPr>
        <w:t>此表中所有灰色底纹的指标均不需要企业填报，系统中这些指标为锁定状态，由系统通过其他途径获取。</w:t>
      </w:r>
    </w:p>
    <w:p>
      <w:pPr>
        <w:pStyle w:val="2"/>
        <w:rPr>
          <w:rFonts w:ascii="Times New Roman" w:hAnsi="Times New Roman"/>
          <w:bCs/>
          <w:color w:val="auto"/>
          <w:highlight w:val="none"/>
        </w:rPr>
      </w:pPr>
    </w:p>
    <w:p>
      <w:pPr>
        <w:tabs>
          <w:tab w:val="left" w:pos="753"/>
        </w:tabs>
        <w:spacing w:line="400" w:lineRule="exact"/>
        <w:jc w:val="center"/>
        <w:rPr>
          <w:rFonts w:ascii="Times New Roman" w:hAnsi="Times New Roman"/>
          <w:b/>
          <w:color w:val="auto"/>
          <w:sz w:val="32"/>
          <w:szCs w:val="32"/>
          <w:highlight w:val="none"/>
        </w:rPr>
      </w:pPr>
      <w:r>
        <w:rPr>
          <w:rFonts w:ascii="Times New Roman" w:hAnsi="Times New Roman"/>
          <w:color w:val="auto"/>
          <w:sz w:val="28"/>
          <w:szCs w:val="28"/>
          <w:highlight w:val="none"/>
        </w:rPr>
        <w:br w:type="page"/>
      </w:r>
      <w:r>
        <w:rPr>
          <w:rFonts w:hint="eastAsia" w:ascii="黑体" w:hAnsi="黑体" w:eastAsia="黑体" w:cs="黑体"/>
          <w:b w:val="0"/>
          <w:bCs/>
          <w:color w:val="auto"/>
          <w:kern w:val="0"/>
          <w:sz w:val="32"/>
          <w:szCs w:val="32"/>
          <w:highlight w:val="none"/>
        </w:rPr>
        <w:t>指标解释</w:t>
      </w:r>
    </w:p>
    <w:p>
      <w:pPr>
        <w:pStyle w:val="2"/>
        <w:rPr>
          <w:rFonts w:ascii="Times New Roman" w:hAnsi="Times New Roman"/>
          <w:color w:val="auto"/>
          <w:highlight w:val="none"/>
        </w:rPr>
      </w:pP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统一社会信用代码</w:t>
      </w:r>
      <w:r>
        <w:rPr>
          <w:rFonts w:hint="eastAsia" w:ascii="Times New Roman" w:hAnsi="Times New Roman"/>
          <w:bCs/>
          <w:color w:val="auto"/>
          <w:szCs w:val="21"/>
          <w:highlight w:val="none"/>
        </w:rPr>
        <w:t>指按照《国务院关于批转发展改革委等部门法人和其他组织统一社会信用代码制度建设总体方案的通知》（国发〔2015〕33号）规定，由赋码主管部门给每一个法人单位和其他组织颁发的在全国范围内唯一的、终身不变的法定身份识别码。</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行政区划代码</w:t>
      </w:r>
      <w:r>
        <w:rPr>
          <w:rFonts w:ascii="Times New Roman" w:hAnsi="Times New Roman"/>
          <w:bCs/>
          <w:color w:val="auto"/>
          <w:szCs w:val="21"/>
          <w:highlight w:val="none"/>
        </w:rPr>
        <w:t>由企业根据实际办公所在地，按照国家统计局网站上公布的最新的县及</w:t>
      </w:r>
      <w:r>
        <w:rPr>
          <w:rFonts w:ascii="Times New Roman" w:hAnsi="Times New Roman"/>
          <w:bCs/>
          <w:color w:val="auto"/>
          <w:szCs w:val="24"/>
          <w:highlight w:val="none"/>
        </w:rPr>
        <w:t>以上行政区划代码填报</w:t>
      </w:r>
      <w:r>
        <w:rPr>
          <w:rFonts w:ascii="Times New Roman" w:hAnsi="Times New Roman"/>
          <w:bCs/>
          <w:color w:val="auto"/>
          <w:szCs w:val="21"/>
          <w:highlight w:val="none"/>
        </w:rPr>
        <w:t>，由6位数字组成。</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企业（单位）详细名称</w:t>
      </w:r>
      <w:r>
        <w:rPr>
          <w:rFonts w:hint="eastAsia" w:ascii="Times New Roman" w:hAnsi="Times New Roman"/>
          <w:bCs/>
          <w:color w:val="auto"/>
          <w:szCs w:val="21"/>
          <w:highlight w:val="none"/>
        </w:rPr>
        <w:t>指经有关部门批准正式使用的单位全称。</w:t>
      </w:r>
      <w:r>
        <w:rPr>
          <w:rFonts w:ascii="宋体" w:hAnsi="宋体" w:cs="宋体"/>
          <w:color w:val="auto"/>
          <w:szCs w:val="21"/>
          <w:highlight w:val="none"/>
        </w:rPr>
        <w:t>填写时要求使用规范化</w:t>
      </w:r>
      <w:r>
        <w:rPr>
          <w:rFonts w:hint="eastAsia" w:ascii="宋体" w:hAnsi="宋体" w:cs="宋体"/>
          <w:color w:val="auto"/>
          <w:szCs w:val="21"/>
          <w:highlight w:val="none"/>
          <w:lang w:eastAsia="zh-CN"/>
        </w:rPr>
        <w:t>中文</w:t>
      </w:r>
      <w:r>
        <w:rPr>
          <w:rFonts w:ascii="宋体" w:hAnsi="宋体" w:cs="宋体"/>
          <w:color w:val="auto"/>
          <w:szCs w:val="21"/>
          <w:highlight w:val="none"/>
        </w:rPr>
        <w:t>，并与单位公章所使用的名称完全一致，不得使用简称、缩写等。</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企业（单位）英文名称</w:t>
      </w:r>
      <w:r>
        <w:rPr>
          <w:rFonts w:ascii="Times New Roman" w:hAnsi="Times New Roman"/>
          <w:bCs/>
          <w:color w:val="auto"/>
          <w:szCs w:val="21"/>
          <w:highlight w:val="none"/>
        </w:rPr>
        <w:t>选填项，如果有英文名称的企业（单位），请填写英文名称。</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eastAsia="黑体"/>
          <w:bCs/>
          <w:color w:val="auto"/>
          <w:szCs w:val="21"/>
          <w:highlight w:val="none"/>
          <w:lang w:eastAsia="zh-CN"/>
        </w:rPr>
        <w:t>机构类型</w:t>
      </w:r>
      <w:r>
        <w:rPr>
          <w:rFonts w:hint="eastAsia" w:ascii="Times New Roman" w:hAnsi="Times New Roman"/>
          <w:bCs/>
          <w:color w:val="auto"/>
          <w:szCs w:val="21"/>
          <w:highlight w:val="none"/>
        </w:rPr>
        <w:t>分为企业、事业单位、社会团体、</w:t>
      </w:r>
      <w:r>
        <w:rPr>
          <w:rFonts w:ascii="宋体" w:hAnsi="宋体" w:cs="宋体"/>
          <w:color w:val="auto"/>
          <w:szCs w:val="21"/>
          <w:highlight w:val="none"/>
        </w:rPr>
        <w:t>民办非企业单位</w:t>
      </w:r>
      <w:r>
        <w:rPr>
          <w:rFonts w:hint="eastAsia" w:ascii="Times New Roman" w:hAnsi="Times New Roman"/>
          <w:bCs/>
          <w:color w:val="auto"/>
          <w:szCs w:val="21"/>
          <w:highlight w:val="none"/>
        </w:rPr>
        <w:t>和其他组织机构。</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1.企业：包括（1）领取《企业法人营业执照》（或新版《营业执照》）的各类企业法人；（2）个人独资企业、合伙企业；（3）领取《营业执照》的企业法人分支机构或经营单位，个人独资企业和合伙企业的分支机构；（4）未经有关部门批准但实际从事生产经营活动、且符合产业活动单位条件的企业法人的组成部分。</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2.事业单位：包括（1）经机构编制部门批准成立和登记或备案，领取《事业单位法人证书》，取得法人资格的单位；（2）事业法人单位的本部及分支机构或派出机构。</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lang w:val="en-US" w:eastAsia="zh-CN"/>
        </w:rPr>
        <w:t>3</w:t>
      </w:r>
      <w:r>
        <w:rPr>
          <w:rFonts w:hint="eastAsia" w:ascii="Times New Roman" w:hAnsi="Times New Roman"/>
          <w:bCs/>
          <w:color w:val="auto"/>
          <w:szCs w:val="21"/>
          <w:highlight w:val="none"/>
        </w:rPr>
        <w:t>.社会团体：指中国公民自愿组成，为实现会员共同意愿，按照其章程开展活动的非营利性社会组织。包括（1）经各级民政部门核准登记，领取《社会团体法人登记证书》的各类社会团体；（2）由各级机构编制管理部门直接管理其机构编制的群众团体；（3）经国务院批准可以免于登记的社会团体。</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lang w:val="en-US" w:eastAsia="zh-CN"/>
        </w:rPr>
        <w:t>4</w:t>
      </w:r>
      <w:r>
        <w:rPr>
          <w:rFonts w:hint="eastAsia" w:ascii="Times New Roman" w:hAnsi="Times New Roman"/>
          <w:bCs/>
          <w:color w:val="auto"/>
          <w:szCs w:val="21"/>
          <w:highlight w:val="none"/>
        </w:rPr>
        <w:t>.民办非企业单位：指企业单位、事业单位、社会团体和其他社会力量以及公民个人利用非国有资产举办的，从事非营利性社会服务的社会组织。民办非企业法人指经各级民政部门核准登记，领取《民办非企业单位登记证书》的民办非企业单位。</w:t>
      </w:r>
    </w:p>
    <w:p>
      <w:pPr>
        <w:spacing w:line="400" w:lineRule="exact"/>
        <w:ind w:firstLine="420" w:firstLineChars="200"/>
        <w:rPr>
          <w:rFonts w:ascii="Times New Roman" w:hAnsi="Times New Roman"/>
          <w:bCs/>
          <w:color w:val="auto"/>
          <w:szCs w:val="21"/>
          <w:highlight w:val="none"/>
        </w:rPr>
      </w:pPr>
      <w:r>
        <w:rPr>
          <w:rFonts w:hint="eastAsia" w:ascii="Times New Roman" w:hAnsi="Times New Roman"/>
          <w:bCs/>
          <w:color w:val="auto"/>
          <w:szCs w:val="21"/>
          <w:highlight w:val="none"/>
          <w:lang w:val="en-US" w:eastAsia="zh-CN"/>
        </w:rPr>
        <w:t>5.其他组织机构：指除企业、事业单位、机关、社会团体、民办非企业单位、基金会、居民委员会、村民委员会、农民专业合作社和农村集体经济组织以外的其他符合法人和产业活动单位条件的机构。包括：律师事务所、基层法律服务机构和各类宗教活动场所等。</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企业注册地址</w:t>
      </w:r>
      <w:r>
        <w:rPr>
          <w:rFonts w:hint="eastAsia" w:ascii="Times New Roman" w:hAnsi="Times New Roman"/>
          <w:bCs/>
          <w:color w:val="auto"/>
          <w:szCs w:val="21"/>
          <w:highlight w:val="none"/>
        </w:rPr>
        <w:t>指单位在审批登记部门登记注册的地址。</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联系方式</w:t>
      </w:r>
      <w:r>
        <w:rPr>
          <w:rFonts w:hint="eastAsia" w:ascii="Times New Roman" w:hAnsi="Times New Roman"/>
          <w:bCs/>
          <w:color w:val="auto"/>
          <w:szCs w:val="21"/>
          <w:highlight w:val="none"/>
        </w:rPr>
        <w:t>包括固定电话、移动电话、传真电话和邮政编码等能够与单位取得联系的信息。</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企业隶属关系</w:t>
      </w:r>
      <w:r>
        <w:rPr>
          <w:rFonts w:hint="eastAsia" w:ascii="Times New Roman" w:hAnsi="Times New Roman"/>
          <w:bCs/>
          <w:color w:val="auto"/>
          <w:szCs w:val="21"/>
          <w:highlight w:val="none"/>
        </w:rPr>
        <w:t>指本单位隶属于哪一级行政管理单位。具体分为中央、地方和其他。中央与地方双重领导的单位，以领导为主的一方来划分隶属中央或地方。</w:t>
      </w:r>
    </w:p>
    <w:p>
      <w:pPr>
        <w:spacing w:line="400" w:lineRule="exact"/>
        <w:ind w:firstLine="420" w:firstLineChars="200"/>
        <w:rPr>
          <w:rFonts w:ascii="Times New Roman" w:hAnsi="Times New Roman"/>
          <w:bCs/>
          <w:color w:val="auto"/>
          <w:szCs w:val="21"/>
          <w:highlight w:val="none"/>
        </w:rPr>
      </w:pPr>
      <w:r>
        <w:rPr>
          <w:rFonts w:ascii="Times New Roman" w:hAnsi="Times New Roman"/>
          <w:bCs/>
          <w:color w:val="auto"/>
          <w:szCs w:val="21"/>
          <w:highlight w:val="none"/>
        </w:rPr>
        <w:t>隶属于“中央”的单位兴办的集体企业，隶属关系填“其他”；省属以下的企业（单位）办的企业（单位），其隶属关系与企业（单位）本身的隶属关系一致。</w:t>
      </w:r>
    </w:p>
    <w:p>
      <w:pPr>
        <w:spacing w:line="400" w:lineRule="exact"/>
        <w:ind w:firstLine="420" w:firstLineChars="200"/>
        <w:rPr>
          <w:rFonts w:ascii="Times New Roman" w:hAnsi="Times New Roman"/>
          <w:bCs/>
          <w:color w:val="auto"/>
          <w:szCs w:val="21"/>
          <w:highlight w:val="none"/>
        </w:rPr>
      </w:pPr>
      <w:r>
        <w:rPr>
          <w:rFonts w:ascii="Times New Roman" w:hAnsi="Times New Roman"/>
          <w:bCs/>
          <w:color w:val="auto"/>
          <w:szCs w:val="21"/>
          <w:highlight w:val="none"/>
        </w:rPr>
        <w:t>无主管部门的单位、本省（自治区、直辖市）在外省（自治区、直辖市）的办事机构所开办的第三产业等单位填“其他”。</w:t>
      </w:r>
    </w:p>
    <w:p>
      <w:pPr>
        <w:spacing w:line="400" w:lineRule="exact"/>
        <w:ind w:firstLine="420" w:firstLineChars="200"/>
        <w:rPr>
          <w:rFonts w:ascii="Times New Roman" w:hAnsi="Times New Roman"/>
          <w:bCs/>
          <w:color w:val="auto"/>
          <w:sz w:val="24"/>
          <w:szCs w:val="24"/>
          <w:highlight w:val="none"/>
        </w:rPr>
      </w:pPr>
      <w:r>
        <w:rPr>
          <w:rFonts w:hint="eastAsia" w:ascii="Times New Roman" w:hAnsi="Times New Roman" w:eastAsia="黑体"/>
          <w:bCs/>
          <w:color w:val="auto"/>
          <w:szCs w:val="21"/>
          <w:highlight w:val="none"/>
        </w:rPr>
        <w:t>主要业务活动或主要产品</w:t>
      </w:r>
      <w:r>
        <w:rPr>
          <w:rFonts w:hint="eastAsia"/>
          <w:bCs/>
          <w:color w:val="auto"/>
          <w:szCs w:val="21"/>
          <w:highlight w:val="none"/>
        </w:rPr>
        <w:t>具体填写各单位的一至三种主要业务活动</w:t>
      </w:r>
      <w:r>
        <w:rPr>
          <w:rFonts w:hint="eastAsia"/>
          <w:bCs/>
          <w:color w:val="auto"/>
          <w:szCs w:val="21"/>
          <w:highlight w:val="none"/>
          <w:lang w:eastAsia="zh-CN"/>
        </w:rPr>
        <w:t>或主要产品</w:t>
      </w:r>
      <w:r>
        <w:rPr>
          <w:rFonts w:hint="eastAsia"/>
          <w:bCs/>
          <w:color w:val="auto"/>
          <w:szCs w:val="21"/>
          <w:highlight w:val="none"/>
        </w:rPr>
        <w:t>名称，并按其重要程度或增加值所占比重，从大到小顺序排列。</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行业代码</w:t>
      </w:r>
      <w:r>
        <w:rPr>
          <w:rFonts w:hint="eastAsia" w:ascii="Times New Roman" w:hAnsi="Times New Roman"/>
          <w:bCs/>
          <w:color w:val="auto"/>
          <w:szCs w:val="21"/>
          <w:highlight w:val="none"/>
        </w:rPr>
        <w:t>对照《国民经济行业分类》（GB/T 4754－2017）填写行业代码</w:t>
      </w:r>
      <w:r>
        <w:rPr>
          <w:rFonts w:hint="eastAsia" w:ascii="Times New Roman" w:hAnsi="Times New Roman"/>
          <w:bCs/>
          <w:color w:val="auto"/>
          <w:szCs w:val="21"/>
          <w:highlight w:val="none"/>
          <w:lang w:eastAsia="zh-CN"/>
        </w:rPr>
        <w:t>。</w:t>
      </w:r>
      <w:r>
        <w:rPr>
          <w:rFonts w:ascii="Times New Roman" w:hAnsi="Times New Roman"/>
          <w:bCs/>
          <w:color w:val="auto"/>
          <w:szCs w:val="21"/>
          <w:highlight w:val="none"/>
        </w:rPr>
        <w:t>多种经济活动并存时，请选择最主要的一类填写。通过行业小类代码选择，反映企业经济活动性质。</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执行会计标准类别</w:t>
      </w:r>
      <w:r>
        <w:rPr>
          <w:rFonts w:hint="eastAsia" w:ascii="Times New Roman" w:hAnsi="Times New Roman"/>
          <w:bCs/>
          <w:color w:val="auto"/>
          <w:szCs w:val="21"/>
          <w:highlight w:val="none"/>
        </w:rPr>
        <w:t>分为执行企业会计准则制度、政府会计准则制度、民间非营利组织会计制度和其他四种情况。</w:t>
      </w:r>
      <w:r>
        <w:rPr>
          <w:rFonts w:ascii="Times New Roman" w:hAnsi="Times New Roman"/>
          <w:bCs/>
          <w:color w:val="auto"/>
          <w:szCs w:val="21"/>
          <w:highlight w:val="none"/>
        </w:rPr>
        <w:t>本项限法人单位填写。</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1.企业会计准则制度：执行企业会计准则、小企业会计准则和企业会计制度的企业选填此项。包括已纳入企业财务管理体系的单位。</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2.政府会计准则制度：执行政府会计准则的单位填报此项。包括与本级政府财政部门直接或者间接发生预算拨款关系的国家机关、政党组织、社会团体、事业单位和其他单位。不包括已纳入企业财务管理体系的单位。</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3.民间非营利组织会计制度：执行民间非营利组织会计制度的单位选填此项。包括执行民间非营利组织会计制度的社会团体、基金会、民办非企业单位和寺院、宫、观、清真寺、教堂等。</w:t>
      </w:r>
    </w:p>
    <w:p>
      <w:pPr>
        <w:spacing w:line="400" w:lineRule="exact"/>
        <w:ind w:firstLine="420" w:firstLineChars="200"/>
        <w:rPr>
          <w:rFonts w:ascii="Times New Roman" w:hAnsi="Times New Roman"/>
          <w:bCs/>
          <w:color w:val="auto"/>
          <w:szCs w:val="21"/>
          <w:highlight w:val="none"/>
        </w:rPr>
      </w:pPr>
      <w:r>
        <w:rPr>
          <w:rFonts w:hint="eastAsia" w:ascii="Times New Roman" w:hAnsi="Times New Roman"/>
          <w:bCs/>
          <w:color w:val="auto"/>
          <w:szCs w:val="21"/>
          <w:highlight w:val="none"/>
        </w:rPr>
        <w:t>4.其他：不执行以上三类会计制度的单位选填此项。</w:t>
      </w:r>
    </w:p>
    <w:p>
      <w:pPr>
        <w:spacing w:line="400" w:lineRule="exact"/>
        <w:ind w:firstLine="420" w:firstLineChars="200"/>
        <w:rPr>
          <w:rFonts w:hint="eastAsia" w:ascii="Times New Roman" w:hAnsi="Times New Roman"/>
          <w:bCs/>
          <w:color w:val="auto"/>
          <w:szCs w:val="21"/>
          <w:highlight w:val="none"/>
        </w:rPr>
      </w:pPr>
      <w:r>
        <w:rPr>
          <w:rFonts w:ascii="Times New Roman" w:hAnsi="Times New Roman" w:eastAsia="黑体"/>
          <w:bCs/>
          <w:color w:val="auto"/>
          <w:szCs w:val="21"/>
          <w:highlight w:val="none"/>
        </w:rPr>
        <w:t>企业执行会计准则情况</w:t>
      </w:r>
      <w:r>
        <w:rPr>
          <w:rFonts w:hint="eastAsia" w:ascii="Times New Roman" w:hAnsi="Times New Roman"/>
          <w:bCs/>
          <w:color w:val="auto"/>
          <w:szCs w:val="21"/>
          <w:highlight w:val="none"/>
        </w:rPr>
        <w:t>执行企业会计准则制度的法人单位按相应分类填写代码，具体的分类及代码是：</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1.执行《企业会计准则》（《企业会计准则--基本准则》见财政部第76号令，各项具体准则、准则解释等见财政部有关财会字文件）；</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2.执行《小企业会计准则》（见财政部财会〔2011〕17号文）；</w:t>
      </w:r>
    </w:p>
    <w:p>
      <w:pPr>
        <w:spacing w:line="400" w:lineRule="exact"/>
        <w:ind w:firstLine="420" w:firstLineChars="200"/>
        <w:rPr>
          <w:rFonts w:ascii="Times New Roman" w:hAnsi="Times New Roman"/>
          <w:bCs/>
          <w:color w:val="auto"/>
          <w:szCs w:val="21"/>
          <w:highlight w:val="none"/>
        </w:rPr>
      </w:pPr>
      <w:r>
        <w:rPr>
          <w:rFonts w:hint="eastAsia" w:ascii="Times New Roman" w:hAnsi="Times New Roman"/>
          <w:bCs/>
          <w:color w:val="auto"/>
          <w:szCs w:val="21"/>
          <w:highlight w:val="none"/>
        </w:rPr>
        <w:t>3.执行《企业会计制度》（见财政部财会〔2000〕25号文）。</w:t>
      </w:r>
    </w:p>
    <w:p>
      <w:pPr>
        <w:spacing w:line="400" w:lineRule="exact"/>
        <w:ind w:firstLine="420" w:firstLineChars="200"/>
        <w:rPr>
          <w:rFonts w:hint="eastAsia" w:ascii="Times New Roman" w:hAnsi="Times New Roman" w:eastAsia="宋体"/>
          <w:bCs/>
          <w:color w:val="auto"/>
          <w:szCs w:val="21"/>
          <w:highlight w:val="none"/>
          <w:lang w:eastAsia="zh-CN"/>
        </w:rPr>
      </w:pPr>
      <w:r>
        <w:rPr>
          <w:rFonts w:ascii="Times New Roman" w:hAnsi="Times New Roman" w:eastAsia="黑体"/>
          <w:bCs/>
          <w:color w:val="auto"/>
          <w:szCs w:val="21"/>
          <w:highlight w:val="none"/>
        </w:rPr>
        <w:t>登记注册</w:t>
      </w:r>
      <w:r>
        <w:rPr>
          <w:rFonts w:hint="eastAsia" w:ascii="Times New Roman" w:hAnsi="Times New Roman" w:eastAsia="黑体"/>
          <w:bCs/>
          <w:color w:val="auto"/>
          <w:szCs w:val="21"/>
          <w:highlight w:val="none"/>
          <w:lang w:eastAsia="zh-CN"/>
        </w:rPr>
        <w:t>统计类别</w:t>
      </w:r>
      <w:r>
        <w:rPr>
          <w:rFonts w:hint="default" w:ascii="Times New Roman" w:hAnsi="Times New Roman"/>
          <w:bCs/>
          <w:color w:val="auto"/>
          <w:szCs w:val="21"/>
          <w:highlight w:val="none"/>
        </w:rPr>
        <w:t>企业单位的登记注册统计类别，依据《关于市场主体统计分类的划分规定》填写。机关、事业单位和社会团体及其他组织的登记注册统计类别，依据主要经费来源和管理方式，根据实际情况，比照《关于市场主体统计分类的划分规定》确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（1）企业参照《营业执照》中的“类型”“公司类型”“合伙企业类型”“经营范围及方式”等填写，无法直接根据登记事项填写的，需根据投资人情况填写。</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登记注册为“有限责任公司（国有独资）”“有限责任公司分公司（国有独资）”，选填“111国有独资公司”。</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有限责任公司（自然人投资或控股）”“有限责任公司（自然人独资）”“有限责任公司（自然人投资或控股的法人独资）”“有限责任公司分公司（自然人投资或控股）”“有限责任公司分公司（自然人独资）”“有限责任公司分公司（自然人投资或控股的法人独资）”，选填“112私营有限责任公司”。</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有限责任公司（外商投资企业投资）”“有限责任公司（国有控股）”“有限责任公司（非自然人投资或控股的法人独资）”“其他有限责任公司”“有限责任公司分公司（外商投资企业投资）”“有限责任分公司（国有控股）”“有限责任分公司（非自然人投资或控股的法人独资）”“其他有限责任公司分公司”，选填“119其他有限责任公司”。</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股份有限公司（上市、自然人投资或控股）”“股份有限公司（非上市、自然人投资或控股）”“股份有限公司分公司（上市、自然人投资或控股）”“股份有限公司分公司（非上市、自然人投资或控股）”，选填“121私营股份有限公司”。</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股份有限公司（上市、外商投资企业投资）”“股份有限公司（上市、国有控股）”“其他股份有限公司（上市）”“股份有限公司（非上市、外商投资企业投资）”“股份有限公司（非上市、国有控股）”“其他股份有限公司（非上市）”“股份有限公司分公司（上市、外商投资企业投资）”“股份有限公司分公司（上市、国有控股）”“其他股份有限公司分公司（上市）”“股份有限公司分公司（非上市、外商投资企业投资）”“股份有限公司分公司（非上市、国有控股）”“其他股份有限公司分公司（非上市）”，选填“129其他股份有限公司”。</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登记注册为“全民所有制”“国有事业单位营业”“国有社团法人营业”“全民所有制分支机构（非法人）”“国有经营单位（非法人）”，选填“131全民所有制企业（国有企业）”。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登记注册为“集体所有制”“集体事业单位营业”“集体社团法人营业”“集体分支机构（非法人）”“集体经营单位（非法人）”，选填“132集体所有制企业（集体企业）”。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登记注册为“股份合作制”“股份合作制分支机构”，选填“133股份合作企业”。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登记注册为“联营”，选填“134联营企业”。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登记注册为“个人独资企业”“个人独资企业分支机构”，选填“140个人独资企业”。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登记注册为“股份制”“股份制分支机构”“股份制企业（非法人）”，选填“190其他内资企业”。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有限责任公司(中外合资)”“有限责任公司(中外合作)”“有限责任公司(外商合资)”“有限责任公司(外国自然人独资)”“有限责任公司(外国法人独资)”“有限责任公司(外国非法人经济组织独资)”“有限责任公司(外商投资、非独资)”，选填“210港澳台投资有限责任公司”。</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股份有限公司(中外合资、未上市)”“股份有限公司(中外合资、上市)”“股份有限公司(外商合资、未上市)”“股份有限公司(外商合资、上市)”“股份有限公司(外商投资、未上市)”“股份有限公司(外商投资、上市)”，选填“220港澳台投资股份有限公司”。</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登记注册为“非公司港、澳、台企业(港澳台与境内合作)”“非公司港、澳、台企业(港澳台与境内合作)”“非公司港、澳、台投资企业分支机构”，选填“290其他港澳台投资企业”。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有限责任公司(中外合资)”“有限责任公司(中外合作)”“有限责任公司(外商合资)”“有限责任公司(外国自然人独资)”“有限责任公司(外国法人独资)”“有限责任公司(外国非法人经济组织独资)”“有限责任公司(外商投资、非独资)”，选填“310外商投资有限责任公司”。</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股份有限公司(中外合资、未上市)”“股份有限公司(中外合资、上市)”“股份有限公司(外商合资、未上市)”“股份有限公司(外商合资、上市)”“股份有限公司(外商投资、未上市)”“股份有限公司(外商投资、上市)”“外国(地区)股份有限责任公司分支机构”，选填“320外商投资股份有限公司”。</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登记注册为“非公司外商投资企业(中外合作)”“非公司外商投资企业(外商合资)”“非公司外商投资企业分支机构”“外国(地区)无限责任公司分支机构”“外国(地区)其他形式公司分支机构”“外国(地区)企业常驻代表机构”“”，选填“390其他外商投资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（2）机关、事业单位、机构编制部门管理的群众团体，应选填“131全民所有制企业（国有企业）”；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（3）登记注册为“农民专业合作社”“农民专业合作社分支机构”，选填“400农民专业合作社（联合社）”。</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（4）农村集体经济组织、社区（居委会）、村委会应选填“132集体所有制企业（集体企业）”；</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5）其他非企业单位根据主要经费来源和管理方式填写。国家负担经费或管理的，应选填“131全民所有制企业（国有企业）”；集体负担经费或管理的，应选填“132集体所有制企业（集体企业）”；个人负担经费或管理的，应选填“140个人独资企业”；合伙负担经费或管理的，应选填“150合伙企业”；无法识别经费来源或管理方的，应选填“900其他市场主体”。</w:t>
      </w:r>
    </w:p>
    <w:p>
      <w:pPr>
        <w:spacing w:line="400" w:lineRule="exact"/>
        <w:ind w:firstLine="420" w:firstLineChars="200"/>
        <w:rPr>
          <w:rFonts w:ascii="Times New Roman" w:hAnsi="Times New Roman"/>
          <w:bCs/>
          <w:color w:val="auto"/>
          <w:szCs w:val="21"/>
          <w:highlight w:val="none"/>
        </w:rPr>
      </w:pPr>
      <w:r>
        <w:rPr>
          <w:rFonts w:hint="eastAsia" w:ascii="Times New Roman" w:hAnsi="Times New Roman"/>
          <w:bCs/>
          <w:color w:val="auto"/>
          <w:szCs w:val="21"/>
          <w:highlight w:val="none"/>
        </w:rPr>
        <w:t>（6）如单位登记注册统计类别改变，但未重新办理变更登记，应按原登记注册统计类别填写。</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主要外资来源国或地区</w:t>
      </w:r>
      <w:r>
        <w:rPr>
          <w:rFonts w:hint="eastAsia" w:ascii="Times New Roman" w:hAnsi="Times New Roman" w:eastAsia="黑体"/>
          <w:bCs/>
          <w:color w:val="auto"/>
          <w:szCs w:val="21"/>
          <w:highlight w:val="none"/>
          <w:lang w:eastAsia="zh-CN"/>
        </w:rPr>
        <w:t>的</w:t>
      </w:r>
      <w:r>
        <w:rPr>
          <w:rFonts w:ascii="Times New Roman" w:hAnsi="Times New Roman" w:eastAsia="黑体"/>
          <w:bCs/>
          <w:color w:val="auto"/>
          <w:szCs w:val="21"/>
          <w:highlight w:val="none"/>
        </w:rPr>
        <w:t>国别（地区）</w:t>
      </w:r>
      <w:r>
        <w:rPr>
          <w:rFonts w:hint="eastAsia" w:ascii="Times New Roman" w:hAnsi="Times New Roman" w:eastAsia="黑体"/>
          <w:bCs/>
          <w:color w:val="auto"/>
          <w:szCs w:val="21"/>
          <w:highlight w:val="none"/>
          <w:lang w:eastAsia="zh-CN"/>
        </w:rPr>
        <w:t>名称</w:t>
      </w:r>
      <w:r>
        <w:rPr>
          <w:rFonts w:ascii="Times New Roman" w:hAnsi="Times New Roman" w:eastAsia="黑体"/>
          <w:bCs/>
          <w:color w:val="auto"/>
          <w:szCs w:val="21"/>
          <w:highlight w:val="none"/>
        </w:rPr>
        <w:t>代码</w:t>
      </w:r>
      <w:r>
        <w:rPr>
          <w:rFonts w:ascii="Times New Roman" w:hAnsi="Times New Roman"/>
          <w:bCs/>
          <w:color w:val="auto"/>
          <w:szCs w:val="21"/>
          <w:highlight w:val="none"/>
        </w:rPr>
        <w:t>限企业登记注册类型为港澳台商投资和外商投资的企业填报。按照国家统计局2004年颁布的《国别</w:t>
      </w:r>
      <w:r>
        <w:rPr>
          <w:rFonts w:ascii="宋体" w:hAnsi="宋体"/>
          <w:bCs/>
          <w:color w:val="auto"/>
          <w:szCs w:val="21"/>
          <w:highlight w:val="none"/>
        </w:rPr>
        <w:t>(</w:t>
      </w:r>
      <w:r>
        <w:rPr>
          <w:rFonts w:ascii="Times New Roman" w:hAnsi="Times New Roman"/>
          <w:bCs/>
          <w:color w:val="auto"/>
          <w:szCs w:val="21"/>
          <w:highlight w:val="none"/>
        </w:rPr>
        <w:t>地区</w:t>
      </w:r>
      <w:r>
        <w:rPr>
          <w:rFonts w:ascii="宋体" w:hAnsi="宋体" w:eastAsia="宋体"/>
          <w:bCs/>
          <w:color w:val="auto"/>
          <w:szCs w:val="21"/>
          <w:highlight w:val="none"/>
        </w:rPr>
        <w:t>)</w:t>
      </w:r>
      <w:r>
        <w:rPr>
          <w:rFonts w:ascii="Times New Roman" w:hAnsi="Times New Roman"/>
          <w:bCs/>
          <w:color w:val="auto"/>
          <w:szCs w:val="21"/>
          <w:highlight w:val="none"/>
        </w:rPr>
        <w:t>统计代码表》填写主要外资来源国或地区的国别（地区）代码。</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企业控股情况</w:t>
      </w:r>
      <w:r>
        <w:rPr>
          <w:rFonts w:hint="eastAsia" w:ascii="Times New Roman" w:hAnsi="Times New Roman"/>
          <w:bCs/>
          <w:color w:val="auto"/>
          <w:szCs w:val="21"/>
          <w:highlight w:val="none"/>
        </w:rPr>
        <w:t>根据企业实收资本中某种经济成分的出资人的实际投资情况，或出资人对企业资产的实际控制、支配程度进行分类。具体分为国有控股、集体控股、私人控股、港澳台商控股、外商控股和其他六类。</w:t>
      </w:r>
    </w:p>
    <w:p>
      <w:pPr>
        <w:snapToGrid w:val="0"/>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1.国有控股：包括（1）在企业的全部实收资本中，国有经济成分的出资人拥有的实收资本（股本）所占企业全部实收资本（股本）的比例大于50%的国有绝对控股；（2）在企业的全部实收资本中，国有经济成分的出资人拥有的实收资本（股本）所占比例虽未大于50%，但相对大于其他任何一方经济成分的出资人所占比例的国有相对控股；或者虽不大于其他经济成分，但根据协议规定拥有企业实际控制权的国有协议控股。（3）投资双方各占50%，且未明确由谁绝对控股的企业，若其中一方为国有经济成分的，一律按国有控股处理。</w:t>
      </w:r>
    </w:p>
    <w:p>
      <w:pPr>
        <w:snapToGrid w:val="0"/>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2.集体控股：包括（1）在企业的全部实收资本中，集体经济成分的出资人拥有的实收资本（股本）所占企业全部实收资本（股本）的比例大于50%的集体绝对控股；（2）在企业的全部实收资本中，集体经济成分的出资人拥有的实收资本（股本）所占比例虽未大于50%，但相对大于其他任何一方经济成分的出资人所占比例的集体相对控股；或者虽不大于其他经济成分，但根据协议规定拥有企业实际控制权的集体协议控股。</w:t>
      </w:r>
    </w:p>
    <w:p>
      <w:pPr>
        <w:snapToGrid w:val="0"/>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3.私人控股：包括（1）在企业的全部实收资本中，私人经济成分的出资人拥有的实收资本（股本）所占企业全部实收资本（股本）的比例大于50%的私人绝对控股；（2）在企业的全部实收资本中，私人经济成分的出资人拥有的实收资本（股本）所占比例虽未大于50%，但相对大于其他任何一方经济成分的出资人所占比例的私人相对控股；或者虽不大于其他经济成分，但根据协议规定拥有企业实际控制权的私人协议控股。</w:t>
      </w:r>
    </w:p>
    <w:p>
      <w:pPr>
        <w:snapToGrid w:val="0"/>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4.港澳台商控股：包括（1）在企业的全部实收资本中，港澳台商经济成分的出资人拥有的实收资本（股本）所占企业全部实收资本（股本）的比例大于50%的港澳台商绝对控股；（2）在企业的全部实收资本中，港澳台商经济成分的出资人拥有的实收资本（股本）所占比例虽未大于50%，但相对大于其他任何一方经济成分的出资人所占比例的港澳台商相对控股；或者虽不大于其他经济成分，但根据协议规定拥有企业实际控制权的港澳台商协议控股。</w:t>
      </w:r>
    </w:p>
    <w:p>
      <w:pPr>
        <w:snapToGrid w:val="0"/>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5.外商控股：包括（1）在企业的全部实收资本中，外商经济成分的出资人拥有的实收资本（股本）所占企业全部实收资本（股本）的比例大于50%的外商绝对控股；（2）在企业的全部实收资本中，外商经济成分的出资人拥有的实收资本（股本）所占比例虽未大于50%，但相对大于其他任何一方经济成分的出资人所占比例的外商相对控股；或者虽不大于其他经济成分，但根据协议规定拥有企业实际控制权的外商协议控股。</w:t>
      </w:r>
    </w:p>
    <w:p>
      <w:pPr>
        <w:snapToGrid w:val="0"/>
        <w:spacing w:line="400" w:lineRule="exact"/>
        <w:ind w:firstLine="420" w:firstLineChars="200"/>
        <w:rPr>
          <w:rFonts w:ascii="Times New Roman" w:hAnsi="Times New Roman"/>
          <w:bCs/>
          <w:color w:val="auto"/>
          <w:szCs w:val="21"/>
          <w:highlight w:val="none"/>
        </w:rPr>
      </w:pPr>
      <w:r>
        <w:rPr>
          <w:rFonts w:hint="eastAsia" w:ascii="Times New Roman" w:hAnsi="Times New Roman"/>
          <w:bCs/>
          <w:color w:val="auto"/>
          <w:szCs w:val="21"/>
          <w:highlight w:val="none"/>
        </w:rPr>
        <w:t>6.其他：除上述五类以外的企业控股情况。</w:t>
      </w:r>
    </w:p>
    <w:p>
      <w:pPr>
        <w:snapToGrid w:val="0"/>
        <w:spacing w:line="400" w:lineRule="exact"/>
        <w:ind w:firstLine="420" w:firstLineChars="0"/>
        <w:rPr>
          <w:rFonts w:ascii="Times New Roman" w:hAnsi="Times New Roman"/>
          <w:bCs/>
          <w:color w:val="auto"/>
          <w:szCs w:val="21"/>
          <w:highlight w:val="none"/>
        </w:rPr>
      </w:pPr>
      <w:r>
        <w:rPr>
          <w:rFonts w:hint="default" w:ascii="Times New Roman" w:hAnsi="Times New Roman" w:eastAsia="黑体"/>
          <w:bCs/>
          <w:color w:val="auto"/>
          <w:szCs w:val="21"/>
          <w:highlight w:val="none"/>
        </w:rPr>
        <w:t>港澳台商投资情况</w:t>
      </w:r>
      <w:r>
        <w:rPr>
          <w:rFonts w:hint="default" w:ascii="Times New Roman" w:hAnsi="Times New Roman"/>
          <w:bCs/>
          <w:color w:val="auto"/>
          <w:szCs w:val="21"/>
          <w:highlight w:val="none"/>
        </w:rPr>
        <w:t>港商投资、澳商投资和台商投资分别指香港特别行政区、澳门特别行政区和台湾地区投资者依照相关法律规定在中国内地进行各种直接投资的形式。限全部港澳台投资企业填写。暂未投资，是指单位在市场监管部门登记注册的类型是港澳台商投资单位，但是尚未有港、澳、台商的资金投入。</w:t>
      </w:r>
    </w:p>
    <w:p>
      <w:pPr>
        <w:keepNext w:val="0"/>
        <w:keepLines w:val="0"/>
        <w:widowControl/>
        <w:suppressLineNumbers w:val="0"/>
        <w:snapToGrid w:val="0"/>
        <w:spacing w:line="400" w:lineRule="exact"/>
        <w:ind w:firstLine="420" w:firstLineChars="200"/>
        <w:jc w:val="left"/>
        <w:rPr>
          <w:rFonts w:hint="eastAsia" w:ascii="Times New Roman" w:hAnsi="Times New Roman"/>
          <w:bCs/>
          <w:color w:val="auto"/>
          <w:szCs w:val="21"/>
          <w:highlight w:val="none"/>
        </w:rPr>
      </w:pPr>
      <w:r>
        <w:rPr>
          <w:rFonts w:hint="default" w:ascii="Times New Roman" w:hAnsi="Times New Roman" w:eastAsia="黑体" w:cs="Times New Roman"/>
          <w:bCs/>
          <w:i w:val="0"/>
          <w:iCs w:val="0"/>
          <w:caps w:val="0"/>
          <w:color w:val="auto"/>
          <w:spacing w:val="0"/>
          <w:sz w:val="21"/>
          <w:szCs w:val="21"/>
          <w:highlight w:val="none"/>
          <w:shd w:val="clear" w:color="auto" w:fill="auto"/>
          <w:lang w:eastAsia="zh-CN"/>
        </w:rPr>
        <w:t>用地</w:t>
      </w:r>
      <w:r>
        <w:rPr>
          <w:rFonts w:hint="eastAsia" w:ascii="Times New Roman" w:hAnsi="Times New Roman" w:eastAsia="黑体" w:cs="Times New Roman"/>
          <w:bCs/>
          <w:i w:val="0"/>
          <w:iCs w:val="0"/>
          <w:caps w:val="0"/>
          <w:color w:val="auto"/>
          <w:spacing w:val="0"/>
          <w:sz w:val="21"/>
          <w:szCs w:val="21"/>
          <w:highlight w:val="none"/>
          <w:shd w:val="clear" w:color="auto" w:fill="auto"/>
        </w:rPr>
        <w:t>面积</w:t>
      </w:r>
      <w:r>
        <w:rPr>
          <w:rFonts w:hint="eastAsia" w:ascii="Times New Roman" w:hAnsi="Times New Roman"/>
          <w:bCs/>
          <w:color w:val="auto"/>
          <w:szCs w:val="21"/>
          <w:highlight w:val="none"/>
        </w:rPr>
        <w:t>指企业自有或租赁使用的</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lang w:val="en-US" w:eastAsia="zh-CN"/>
        </w:rPr>
        <w:t>经土地和规划许可并经红线圈定的可用于房屋建筑以及各类配套、道路、绿化等在内的全部建设用地面积。</w:t>
      </w:r>
      <w:r>
        <w:rPr>
          <w:rFonts w:hint="eastAsia" w:ascii="Times New Roman" w:hAnsi="Times New Roman"/>
          <w:bCs/>
          <w:color w:val="auto"/>
          <w:szCs w:val="21"/>
          <w:highlight w:val="none"/>
        </w:rPr>
        <w:t>按照实际占用原则计算。具体包括已建成、在建和待建的生产性、辅助生产性和非生产性配套设施以及企业经营、管理和服务部门的</w:t>
      </w:r>
      <w:r>
        <w:rPr>
          <w:rFonts w:hint="eastAsia" w:ascii="Times New Roman" w:hAnsi="Times New Roman"/>
          <w:bCs/>
          <w:color w:val="auto"/>
          <w:szCs w:val="21"/>
          <w:highlight w:val="none"/>
          <w:lang w:eastAsia="zh-CN"/>
        </w:rPr>
        <w:t>用</w:t>
      </w:r>
      <w:r>
        <w:rPr>
          <w:rFonts w:hint="eastAsia" w:ascii="Times New Roman" w:hAnsi="Times New Roman"/>
          <w:bCs/>
          <w:color w:val="auto"/>
          <w:szCs w:val="21"/>
          <w:highlight w:val="none"/>
        </w:rPr>
        <w:t>地面积；未办理国有建筑用地使用权证的，或没有国有建设用地使用权出让合同或划拨决定书，但企业实际占用的面积。</w:t>
      </w:r>
    </w:p>
    <w:p>
      <w:pPr>
        <w:snapToGrid w:val="0"/>
        <w:spacing w:line="400" w:lineRule="exact"/>
        <w:ind w:firstLine="420" w:firstLineChars="200"/>
        <w:rPr>
          <w:rFonts w:ascii="Times New Roman" w:hAnsi="Times New Roman"/>
          <w:bCs/>
          <w:color w:val="auto"/>
          <w:szCs w:val="21"/>
          <w:highlight w:val="none"/>
        </w:rPr>
      </w:pPr>
      <w:r>
        <w:rPr>
          <w:rFonts w:hint="default" w:ascii="Times New Roman" w:hAnsi="Times New Roman" w:eastAsia="黑体"/>
          <w:bCs/>
          <w:color w:val="auto"/>
          <w:szCs w:val="21"/>
          <w:highlight w:val="none"/>
        </w:rPr>
        <w:t>建筑面积</w:t>
      </w:r>
      <w:r>
        <w:rPr>
          <w:rFonts w:hint="eastAsia" w:ascii="Times New Roman" w:hAnsi="Times New Roman"/>
          <w:bCs/>
          <w:color w:val="auto"/>
          <w:szCs w:val="21"/>
          <w:highlight w:val="none"/>
        </w:rPr>
        <w:t>指企业自有或租赁使用的</w:t>
      </w:r>
      <w:r>
        <w:rPr>
          <w:rFonts w:hint="eastAsia" w:ascii="Times New Roman" w:hAnsi="Times New Roman"/>
          <w:bCs/>
          <w:color w:val="auto"/>
          <w:szCs w:val="21"/>
          <w:highlight w:val="none"/>
          <w:lang w:eastAsia="zh-CN"/>
        </w:rPr>
        <w:t>，</w:t>
      </w:r>
      <w:r>
        <w:rPr>
          <w:rFonts w:hint="default" w:ascii="Times New Roman" w:hAnsi="Times New Roman"/>
          <w:bCs/>
          <w:color w:val="auto"/>
          <w:szCs w:val="21"/>
          <w:highlight w:val="none"/>
        </w:rPr>
        <w:t>已建成的建筑外墙外围线测定的各层平面面积之和。</w:t>
      </w:r>
      <w:r>
        <w:rPr>
          <w:rFonts w:hint="eastAsia" w:ascii="Times New Roman" w:hAnsi="Times New Roman"/>
          <w:bCs/>
          <w:color w:val="auto"/>
          <w:szCs w:val="21"/>
          <w:highlight w:val="none"/>
          <w:lang w:eastAsia="zh-CN"/>
        </w:rPr>
        <w:t>不包括自有但已出租的面积。</w:t>
      </w:r>
    </w:p>
    <w:p>
      <w:pPr>
        <w:snapToGrid w:val="0"/>
        <w:spacing w:line="400" w:lineRule="exact"/>
        <w:ind w:firstLine="420" w:firstLineChars="200"/>
        <w:rPr>
          <w:rFonts w:hint="default" w:ascii="Times New Roman" w:hAnsi="Times New Roman"/>
          <w:bCs/>
          <w:color w:val="auto"/>
          <w:szCs w:val="21"/>
          <w:highlight w:val="none"/>
        </w:rPr>
      </w:pPr>
      <w:r>
        <w:rPr>
          <w:rFonts w:hint="eastAsia" w:ascii="Times New Roman" w:hAnsi="Times New Roman" w:eastAsia="黑体"/>
          <w:bCs/>
          <w:color w:val="auto"/>
          <w:szCs w:val="21"/>
          <w:highlight w:val="none"/>
          <w:lang w:eastAsia="zh-CN"/>
        </w:rPr>
        <w:t>用于</w:t>
      </w:r>
      <w:r>
        <w:rPr>
          <w:rFonts w:hint="default" w:ascii="Times New Roman" w:hAnsi="Times New Roman" w:eastAsia="黑体"/>
          <w:bCs/>
          <w:color w:val="auto"/>
          <w:szCs w:val="21"/>
          <w:highlight w:val="none"/>
        </w:rPr>
        <w:t>生产</w:t>
      </w:r>
      <w:r>
        <w:rPr>
          <w:rFonts w:hint="eastAsia" w:ascii="Times New Roman" w:hAnsi="Times New Roman" w:eastAsia="黑体"/>
          <w:bCs/>
          <w:color w:val="auto"/>
          <w:szCs w:val="21"/>
          <w:highlight w:val="none"/>
          <w:lang w:eastAsia="zh-CN"/>
        </w:rPr>
        <w:t>的建筑面积</w:t>
      </w:r>
      <w:r>
        <w:rPr>
          <w:rFonts w:hint="default" w:ascii="Times New Roman" w:hAnsi="Times New Roman"/>
          <w:bCs/>
          <w:color w:val="auto"/>
          <w:szCs w:val="21"/>
          <w:highlight w:val="none"/>
        </w:rPr>
        <w:t>指企业</w:t>
      </w:r>
      <w:r>
        <w:rPr>
          <w:rFonts w:hint="eastAsia" w:ascii="Times New Roman" w:hAnsi="Times New Roman"/>
          <w:bCs/>
          <w:color w:val="auto"/>
          <w:szCs w:val="21"/>
          <w:highlight w:val="none"/>
          <w:lang w:eastAsia="zh-CN"/>
        </w:rPr>
        <w:t>用于</w:t>
      </w:r>
      <w:r>
        <w:rPr>
          <w:rFonts w:hint="eastAsia" w:ascii="Times New Roman" w:hAnsi="Times New Roman"/>
          <w:bCs/>
          <w:color w:val="auto"/>
          <w:szCs w:val="21"/>
          <w:highlight w:val="none"/>
        </w:rPr>
        <w:t>生产</w:t>
      </w:r>
      <w:r>
        <w:rPr>
          <w:rFonts w:hint="eastAsia" w:ascii="Times New Roman" w:hAnsi="Times New Roman"/>
          <w:bCs/>
          <w:color w:val="auto"/>
          <w:szCs w:val="21"/>
          <w:highlight w:val="none"/>
          <w:lang w:eastAsia="zh-CN"/>
        </w:rPr>
        <w:t>或</w:t>
      </w:r>
      <w:r>
        <w:rPr>
          <w:rFonts w:hint="eastAsia" w:ascii="Times New Roman" w:hAnsi="Times New Roman"/>
          <w:bCs/>
          <w:color w:val="auto"/>
          <w:szCs w:val="21"/>
          <w:highlight w:val="none"/>
        </w:rPr>
        <w:t>辅助</w:t>
      </w:r>
      <w:r>
        <w:rPr>
          <w:rFonts w:hint="eastAsia" w:ascii="Times New Roman" w:hAnsi="Times New Roman"/>
          <w:bCs/>
          <w:color w:val="auto"/>
          <w:szCs w:val="21"/>
          <w:highlight w:val="none"/>
          <w:lang w:eastAsia="zh-CN"/>
        </w:rPr>
        <w:t>性</w:t>
      </w:r>
      <w:r>
        <w:rPr>
          <w:rFonts w:hint="eastAsia" w:ascii="Times New Roman" w:hAnsi="Times New Roman"/>
          <w:bCs/>
          <w:color w:val="auto"/>
          <w:szCs w:val="21"/>
          <w:highlight w:val="none"/>
        </w:rPr>
        <w:t>生产</w:t>
      </w:r>
      <w:r>
        <w:rPr>
          <w:rFonts w:hint="eastAsia" w:ascii="Times New Roman" w:hAnsi="Times New Roman"/>
          <w:bCs/>
          <w:color w:val="auto"/>
          <w:szCs w:val="21"/>
          <w:highlight w:val="none"/>
          <w:lang w:eastAsia="zh-CN"/>
        </w:rPr>
        <w:t>的建筑面积</w:t>
      </w:r>
      <w:r>
        <w:rPr>
          <w:rFonts w:hint="default" w:ascii="Times New Roman" w:hAnsi="Times New Roman"/>
          <w:bCs/>
          <w:color w:val="auto"/>
          <w:szCs w:val="21"/>
          <w:highlight w:val="none"/>
        </w:rPr>
        <w:t>。</w:t>
      </w:r>
    </w:p>
    <w:p>
      <w:pPr>
        <w:snapToGrid w:val="0"/>
        <w:spacing w:line="400" w:lineRule="exact"/>
        <w:ind w:firstLine="420" w:firstLineChars="200"/>
        <w:rPr>
          <w:rFonts w:hint="default" w:ascii="Times New Roman" w:hAnsi="Times New Roman"/>
          <w:bCs/>
          <w:color w:val="auto"/>
          <w:szCs w:val="21"/>
          <w:highlight w:val="none"/>
        </w:rPr>
      </w:pPr>
      <w:r>
        <w:rPr>
          <w:rFonts w:hint="default" w:ascii="Times New Roman" w:hAnsi="Times New Roman" w:eastAsia="黑体" w:cs="Times New Roman"/>
          <w:bCs/>
          <w:color w:val="auto"/>
          <w:sz w:val="21"/>
          <w:szCs w:val="21"/>
          <w:highlight w:val="none"/>
          <w:lang w:eastAsia="zh-CN"/>
        </w:rPr>
        <w:t>用于研发的建筑面积</w:t>
      </w:r>
      <w:r>
        <w:rPr>
          <w:rFonts w:hint="default" w:ascii="Times New Roman" w:hAnsi="Times New Roman"/>
          <w:bCs/>
          <w:color w:val="auto"/>
          <w:szCs w:val="21"/>
          <w:highlight w:val="none"/>
        </w:rPr>
        <w:t>指企业</w:t>
      </w:r>
      <w:r>
        <w:rPr>
          <w:rFonts w:hint="eastAsia" w:ascii="Times New Roman" w:hAnsi="Times New Roman"/>
          <w:bCs/>
          <w:color w:val="auto"/>
          <w:szCs w:val="21"/>
          <w:highlight w:val="none"/>
          <w:lang w:eastAsia="zh-CN"/>
        </w:rPr>
        <w:t>用于研究开发的建筑面积</w:t>
      </w:r>
      <w:r>
        <w:rPr>
          <w:rFonts w:hint="default" w:ascii="Times New Roman" w:hAnsi="Times New Roman"/>
          <w:bCs/>
          <w:color w:val="auto"/>
          <w:szCs w:val="21"/>
          <w:highlight w:val="none"/>
        </w:rPr>
        <w:t>。</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企业集团情况</w:t>
      </w:r>
      <w:r>
        <w:rPr>
          <w:rFonts w:hint="eastAsia" w:ascii="Times New Roman" w:hAnsi="Times New Roman"/>
          <w:bCs/>
          <w:color w:val="auto"/>
          <w:szCs w:val="21"/>
          <w:highlight w:val="none"/>
        </w:rPr>
        <w:t>限企业集团母公司及成员企业填写。企业集团是指以资本为主要联结纽带的母子公司为主体，以集团章程为共同行为规范的母公司、子公司、参股公司及其他成员企业或机构共同组成的具有一定规模的企业法人联合体。企业集团不具有企业法人资格。母公司应当是依法登记注册，取得企业法人资格的控股企业；子公司应当是母公司对其拥有全部股权或者控制权的企业法人；企业集团的其他成员应当是母公司对其参股或者与母、子公司形成生产经营、协作联系的其他企业法人、事业单位法人或者社会团体法人。</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科技企业孵化器</w:t>
      </w:r>
      <w:r>
        <w:rPr>
          <w:rFonts w:ascii="Times New Roman" w:hAnsi="Times New Roman"/>
          <w:bCs/>
          <w:color w:val="auto"/>
          <w:highlight w:val="none"/>
        </w:rPr>
        <w:t>指以科技型创业企业为服务对象，以促进科技成果转化、培养高新技术企业和企业家为宗旨的科技创业服务载体。</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在孵企业</w:t>
      </w:r>
      <w:r>
        <w:rPr>
          <w:rFonts w:ascii="Times New Roman" w:hAnsi="Times New Roman"/>
          <w:bCs/>
          <w:color w:val="auto"/>
          <w:szCs w:val="21"/>
          <w:highlight w:val="none"/>
        </w:rPr>
        <w:t>指目前仍在孵化器内入驻，得到孵化器提供的服务的初创型企业。</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毕业企业</w:t>
      </w:r>
      <w:r>
        <w:rPr>
          <w:rFonts w:ascii="Times New Roman" w:hAnsi="Times New Roman"/>
          <w:bCs/>
          <w:color w:val="auto"/>
          <w:szCs w:val="21"/>
          <w:highlight w:val="none"/>
        </w:rPr>
        <w:t>指曾在孵化器入驻并得到孵化器服务，符合所在孵化器毕业企业条件，现已迁出孵化器的企业。</w:t>
      </w:r>
    </w:p>
    <w:p>
      <w:pPr>
        <w:snapToGrid w:val="0"/>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与孵化器无关</w:t>
      </w:r>
      <w:r>
        <w:rPr>
          <w:rFonts w:ascii="Times New Roman" w:hAnsi="Times New Roman"/>
          <w:bCs/>
          <w:color w:val="auto"/>
          <w:szCs w:val="21"/>
          <w:highlight w:val="none"/>
        </w:rPr>
        <w:t>指企业从未入驻过孵化器。</w:t>
      </w:r>
    </w:p>
    <w:p>
      <w:pPr>
        <w:snapToGrid w:val="0"/>
        <w:spacing w:line="400" w:lineRule="exact"/>
        <w:ind w:firstLine="420" w:firstLineChars="200"/>
        <w:rPr>
          <w:rFonts w:ascii="Times New Roman" w:hAnsi="Times New Roman"/>
          <w:bCs/>
          <w:color w:val="auto"/>
          <w:highlight w:val="none"/>
        </w:rPr>
      </w:pPr>
      <w:r>
        <w:rPr>
          <w:rFonts w:ascii="Times New Roman" w:hAnsi="Times New Roman" w:eastAsia="黑体"/>
          <w:bCs/>
          <w:color w:val="auto"/>
          <w:szCs w:val="21"/>
          <w:highlight w:val="none"/>
        </w:rPr>
        <w:t>境外上市情况</w:t>
      </w:r>
      <w:r>
        <w:rPr>
          <w:rFonts w:ascii="Times New Roman" w:hAnsi="Times New Roman"/>
          <w:bCs/>
          <w:color w:val="auto"/>
          <w:highlight w:val="none"/>
        </w:rPr>
        <w:t>仅限非在中国大陆上市的企业填报其上市地点、时间及统计年度年末市值等情况。</w:t>
      </w:r>
    </w:p>
    <w:p>
      <w:pPr>
        <w:snapToGrid w:val="0"/>
        <w:spacing w:line="400" w:lineRule="exact"/>
        <w:ind w:firstLine="420" w:firstLineChars="200"/>
        <w:rPr>
          <w:rFonts w:ascii="Times New Roman" w:hAnsi="Times New Roman"/>
          <w:bCs/>
          <w:color w:val="auto"/>
          <w:highlight w:val="none"/>
        </w:rPr>
      </w:pPr>
      <w:r>
        <w:rPr>
          <w:rFonts w:ascii="Times New Roman" w:hAnsi="Times New Roman" w:eastAsia="黑体"/>
          <w:bCs/>
          <w:color w:val="auto"/>
          <w:szCs w:val="21"/>
          <w:highlight w:val="none"/>
        </w:rPr>
        <w:t>企业所属技术领域</w:t>
      </w:r>
      <w:r>
        <w:rPr>
          <w:rFonts w:ascii="Times New Roman" w:hAnsi="Times New Roman"/>
          <w:bCs/>
          <w:color w:val="auto"/>
          <w:szCs w:val="21"/>
          <w:highlight w:val="none"/>
        </w:rPr>
        <w:t>此项指标是为了了解企业所属领域情况，技术领域共分11大类54小类，请根据企业实际情况，以企业主营产品中最主要的产品为主，按技术领域的小类代码填报。</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企业核心技术所属国家重点支持的高新技术领域</w:t>
      </w:r>
      <w:r>
        <w:rPr>
          <w:rFonts w:ascii="Times New Roman" w:hAnsi="Times New Roman"/>
          <w:bCs/>
          <w:color w:val="auto"/>
          <w:szCs w:val="21"/>
          <w:highlight w:val="none"/>
        </w:rPr>
        <w:t>指对企业主要产品（服务）发挥核心支持作用的技术所属《国家重点支持的高新技术领域》范围（参见附录）。按照《高新技术企业认定管理办法》（国科发火〔2016〕32号）中规定的8个重点领域中选择3级技术领域所对应的6位代码填报。高新技术企业根据高新技术企业认定时确定的领域填报，非高新技术企业根据企业核心技术情况选择对应项填报。无核心技术企业填报000000。</w:t>
      </w:r>
    </w:p>
    <w:p>
      <w:pPr>
        <w:spacing w:line="400" w:lineRule="exact"/>
        <w:ind w:firstLine="420" w:firstLineChars="200"/>
        <w:rPr>
          <w:rFonts w:hint="default" w:ascii="Times New Roman" w:hAnsi="Times New Roman"/>
          <w:b w:val="0"/>
          <w:bCs/>
          <w:color w:val="auto"/>
          <w:kern w:val="2"/>
          <w:sz w:val="21"/>
          <w:szCs w:val="21"/>
          <w:highlight w:val="none"/>
        </w:rPr>
      </w:pPr>
      <w:r>
        <w:rPr>
          <w:rFonts w:ascii="Times New Roman" w:hAnsi="Times New Roman" w:eastAsia="黑体"/>
          <w:b w:val="0"/>
          <w:color w:val="auto"/>
          <w:kern w:val="2"/>
          <w:sz w:val="21"/>
          <w:szCs w:val="21"/>
          <w:highlight w:val="none"/>
        </w:rPr>
        <w:t>企业所属</w:t>
      </w:r>
      <w:r>
        <w:rPr>
          <w:rFonts w:hint="eastAsia" w:ascii="Times New Roman" w:hAnsi="Times New Roman" w:eastAsia="黑体"/>
          <w:b w:val="0"/>
          <w:color w:val="auto"/>
          <w:kern w:val="2"/>
          <w:sz w:val="21"/>
          <w:szCs w:val="21"/>
          <w:highlight w:val="none"/>
        </w:rPr>
        <w:t>战略性新兴产业领域</w:t>
      </w:r>
      <w:r>
        <w:rPr>
          <w:rFonts w:hint="eastAsia" w:ascii="Times New Roman" w:hAnsi="Times New Roman" w:eastAsia="宋体" w:cs="Times New Roman"/>
          <w:b w:val="0"/>
          <w:color w:val="auto"/>
          <w:kern w:val="2"/>
          <w:sz w:val="21"/>
          <w:szCs w:val="21"/>
          <w:highlight w:val="none"/>
        </w:rPr>
        <w:t>指按国</w:t>
      </w:r>
      <w:r>
        <w:rPr>
          <w:rFonts w:hint="eastAsia" w:ascii="Times New Roman" w:hAnsi="Times New Roman"/>
          <w:b w:val="0"/>
          <w:color w:val="auto"/>
          <w:kern w:val="2"/>
          <w:sz w:val="21"/>
          <w:szCs w:val="21"/>
          <w:highlight w:val="none"/>
        </w:rPr>
        <w:t>家统</w:t>
      </w:r>
      <w:r>
        <w:rPr>
          <w:rFonts w:hint="default" w:ascii="Times New Roman" w:hAnsi="Times New Roman"/>
          <w:b w:val="0"/>
          <w:bCs/>
          <w:color w:val="auto"/>
          <w:kern w:val="2"/>
          <w:sz w:val="21"/>
          <w:szCs w:val="21"/>
          <w:highlight w:val="none"/>
        </w:rPr>
        <w:t>计局</w:t>
      </w:r>
      <w:r>
        <w:rPr>
          <w:rFonts w:ascii="Times New Roman" w:hAnsi="Times New Roman"/>
          <w:b w:val="0"/>
          <w:bCs/>
          <w:color w:val="auto"/>
          <w:kern w:val="2"/>
          <w:sz w:val="21"/>
          <w:szCs w:val="21"/>
          <w:highlight w:val="none"/>
        </w:rPr>
        <w:t>2018</w:t>
      </w:r>
      <w:r>
        <w:rPr>
          <w:rFonts w:hint="default" w:ascii="Times New Roman" w:hAnsi="Times New Roman"/>
          <w:b w:val="0"/>
          <w:bCs/>
          <w:color w:val="auto"/>
          <w:kern w:val="2"/>
          <w:sz w:val="21"/>
          <w:szCs w:val="21"/>
          <w:highlight w:val="none"/>
        </w:rPr>
        <w:t>年公布的《战略性新兴产业分类（</w:t>
      </w:r>
      <w:r>
        <w:rPr>
          <w:rFonts w:ascii="Times New Roman" w:hAnsi="Times New Roman"/>
          <w:b w:val="0"/>
          <w:bCs/>
          <w:color w:val="auto"/>
          <w:kern w:val="2"/>
          <w:sz w:val="21"/>
          <w:szCs w:val="21"/>
          <w:highlight w:val="none"/>
        </w:rPr>
        <w:t>2018</w:t>
      </w:r>
      <w:r>
        <w:rPr>
          <w:rFonts w:hint="default" w:ascii="Times New Roman" w:hAnsi="Times New Roman"/>
          <w:b w:val="0"/>
          <w:bCs/>
          <w:color w:val="auto"/>
          <w:kern w:val="2"/>
          <w:sz w:val="21"/>
          <w:szCs w:val="21"/>
          <w:highlight w:val="none"/>
        </w:rPr>
        <w:t>）》</w:t>
      </w:r>
      <w:r>
        <w:rPr>
          <w:rFonts w:hint="eastAsia" w:ascii="Times New Roman" w:hAnsi="Times New Roman"/>
          <w:b w:val="0"/>
          <w:bCs/>
          <w:color w:val="auto"/>
          <w:kern w:val="2"/>
          <w:sz w:val="21"/>
          <w:szCs w:val="21"/>
          <w:highlight w:val="none"/>
          <w:lang w:eastAsia="zh-CN"/>
        </w:rPr>
        <w:t>和</w:t>
      </w:r>
      <w:r>
        <w:rPr>
          <w:rFonts w:hint="default" w:ascii="Times New Roman" w:hAnsi="Times New Roman"/>
          <w:b w:val="0"/>
          <w:bCs/>
          <w:color w:val="auto"/>
          <w:kern w:val="2"/>
          <w:sz w:val="21"/>
          <w:szCs w:val="21"/>
          <w:highlight w:val="none"/>
        </w:rPr>
        <w:t>国务院第五次全国经济普査领导小组办公室</w:t>
      </w:r>
      <w:r>
        <w:rPr>
          <w:rFonts w:hint="eastAsia" w:ascii="Times New Roman" w:hAnsi="Times New Roman"/>
          <w:b w:val="0"/>
          <w:bCs/>
          <w:color w:val="auto"/>
          <w:kern w:val="2"/>
          <w:sz w:val="21"/>
          <w:szCs w:val="21"/>
          <w:highlight w:val="none"/>
          <w:lang w:val="en-US" w:eastAsia="zh-CN"/>
        </w:rPr>
        <w:t>2023年</w:t>
      </w:r>
      <w:r>
        <w:rPr>
          <w:rFonts w:hint="eastAsia" w:ascii="Times New Roman" w:hAnsi="Times New Roman"/>
          <w:b w:val="0"/>
          <w:bCs/>
          <w:color w:val="auto"/>
          <w:kern w:val="2"/>
          <w:sz w:val="21"/>
          <w:szCs w:val="21"/>
          <w:highlight w:val="none"/>
          <w:lang w:eastAsia="zh-CN"/>
        </w:rPr>
        <w:t>公布的《工业战略性新兴产业分类目录（2023）》</w:t>
      </w:r>
      <w:r>
        <w:rPr>
          <w:rFonts w:hint="default" w:ascii="Times New Roman" w:hAnsi="Times New Roman"/>
          <w:b w:val="0"/>
          <w:bCs/>
          <w:color w:val="auto"/>
          <w:kern w:val="2"/>
          <w:sz w:val="21"/>
          <w:szCs w:val="21"/>
          <w:highlight w:val="none"/>
        </w:rPr>
        <w:t>填写。</w:t>
      </w:r>
    </w:p>
    <w:p>
      <w:pPr>
        <w:spacing w:line="400" w:lineRule="exact"/>
        <w:ind w:firstLine="420" w:firstLineChars="200"/>
        <w:rPr>
          <w:rFonts w:hint="default" w:ascii="Times New Roman" w:hAnsi="Times New Roman"/>
          <w:b w:val="0"/>
          <w:bCs/>
          <w:color w:val="auto"/>
          <w:kern w:val="2"/>
          <w:sz w:val="21"/>
          <w:szCs w:val="21"/>
          <w:highlight w:val="none"/>
        </w:rPr>
      </w:pPr>
      <w:r>
        <w:rPr>
          <w:rFonts w:hint="default" w:ascii="Times New Roman" w:hAnsi="Times New Roman" w:eastAsia="黑体"/>
          <w:color w:val="auto"/>
          <w:szCs w:val="21"/>
          <w:highlight w:val="none"/>
        </w:rPr>
        <w:t>业务系统是否向云端迁移</w:t>
      </w:r>
      <w:r>
        <w:rPr>
          <w:rFonts w:hint="default" w:ascii="Times New Roman" w:hAnsi="Times New Roman"/>
          <w:bCs/>
          <w:color w:val="auto"/>
          <w:szCs w:val="21"/>
          <w:highlight w:val="none"/>
        </w:rPr>
        <w:t>指企业</w:t>
      </w:r>
      <w:r>
        <w:rPr>
          <w:rFonts w:hint="default" w:ascii="Times New Roman" w:hAnsi="Times New Roman"/>
          <w:b w:val="0"/>
          <w:bCs/>
          <w:color w:val="auto"/>
          <w:kern w:val="2"/>
          <w:sz w:val="21"/>
          <w:szCs w:val="21"/>
          <w:highlight w:val="none"/>
        </w:rPr>
        <w:t>是否</w:t>
      </w:r>
      <w:r>
        <w:rPr>
          <w:rFonts w:hint="default" w:ascii="Times New Roman" w:hAnsi="Times New Roman"/>
          <w:bCs/>
          <w:color w:val="auto"/>
          <w:szCs w:val="21"/>
          <w:highlight w:val="none"/>
        </w:rPr>
        <w:t>将原本存储在本地服务器上的业务系统，迁移至云端服务器上进行管理和运行的过程</w:t>
      </w:r>
      <w:r>
        <w:rPr>
          <w:rFonts w:hint="default" w:ascii="Times New Roman" w:hAnsi="Times New Roman"/>
          <w:b w:val="0"/>
          <w:bCs/>
          <w:color w:val="auto"/>
          <w:kern w:val="2"/>
          <w:sz w:val="21"/>
          <w:szCs w:val="21"/>
          <w:highlight w:val="none"/>
        </w:rPr>
        <w:t>。</w:t>
      </w:r>
    </w:p>
    <w:p>
      <w:pPr>
        <w:spacing w:line="400" w:lineRule="exact"/>
        <w:ind w:firstLine="420"/>
        <w:rPr>
          <w:rFonts w:hint="default" w:ascii="Times New Roman" w:hAnsi="Times New Roman"/>
          <w:bCs/>
          <w:color w:val="auto"/>
          <w:szCs w:val="21"/>
          <w:highlight w:val="none"/>
        </w:rPr>
      </w:pPr>
      <w:r>
        <w:rPr>
          <w:rFonts w:hint="default" w:ascii="Times New Roman" w:hAnsi="Times New Roman" w:eastAsia="黑体"/>
          <w:bCs w:val="0"/>
          <w:color w:val="auto"/>
          <w:szCs w:val="21"/>
          <w:highlight w:val="none"/>
        </w:rPr>
        <w:t>实体经济和数字经济融合相关试点、典型案例</w:t>
      </w:r>
      <w:r>
        <w:rPr>
          <w:rFonts w:hint="default" w:ascii="Times New Roman" w:hAnsi="Times New Roman"/>
          <w:bCs/>
          <w:color w:val="auto"/>
          <w:szCs w:val="21"/>
          <w:highlight w:val="none"/>
        </w:rPr>
        <w:t>指经工业和信息化部认定的“数字领航”企业、跨行业跨领域工业互联网平台和制造业数字化转型相关典型案例。</w:t>
      </w:r>
    </w:p>
    <w:p>
      <w:pPr>
        <w:spacing w:line="400" w:lineRule="exact"/>
        <w:ind w:firstLine="420"/>
        <w:rPr>
          <w:rFonts w:hint="eastAsia" w:ascii="Times New Roman" w:hAnsi="Times New Roman"/>
          <w:bCs/>
          <w:color w:val="auto"/>
          <w:szCs w:val="21"/>
          <w:highlight w:val="none"/>
        </w:rPr>
      </w:pPr>
      <w:r>
        <w:rPr>
          <w:rFonts w:hint="default" w:ascii="Times New Roman" w:hAnsi="Times New Roman" w:eastAsia="黑体"/>
          <w:bCs w:val="0"/>
          <w:color w:val="auto"/>
          <w:szCs w:val="21"/>
          <w:highlight w:val="none"/>
        </w:rPr>
        <w:t>数字化转型</w:t>
      </w:r>
      <w:r>
        <w:rPr>
          <w:rFonts w:hint="eastAsia" w:ascii="Times New Roman" w:hAnsi="Times New Roman"/>
          <w:bCs/>
          <w:color w:val="auto"/>
          <w:szCs w:val="21"/>
          <w:highlight w:val="none"/>
          <w:lang w:eastAsia="zh-CN"/>
        </w:rPr>
        <w:t>指</w:t>
      </w:r>
      <w:r>
        <w:rPr>
          <w:rFonts w:hint="eastAsia" w:ascii="Times New Roman" w:hAnsi="Times New Roman"/>
          <w:bCs/>
          <w:color w:val="auto"/>
          <w:szCs w:val="21"/>
          <w:highlight w:val="none"/>
        </w:rPr>
        <w:t>企业运用数字技术，对业务流程、组织架构、商业模式等进行全方位的重塑和优化，以实现提高效率、创新服务、提升竞争力和创造价值的目标</w:t>
      </w:r>
      <w:r>
        <w:rPr>
          <w:rFonts w:hint="default" w:ascii="Times New Roman" w:hAnsi="Times New Roman"/>
          <w:bCs/>
          <w:color w:val="auto"/>
          <w:szCs w:val="21"/>
          <w:highlight w:val="none"/>
          <w:lang w:eastAsia="zh-CN"/>
        </w:rPr>
        <w:t>，</w:t>
      </w:r>
      <w:r>
        <w:rPr>
          <w:rFonts w:hint="default" w:ascii="Times New Roman" w:hAnsi="Times New Roman"/>
          <w:bCs/>
          <w:color w:val="auto"/>
          <w:szCs w:val="21"/>
          <w:highlight w:val="none"/>
          <w:lang w:val="en-US" w:eastAsia="zh-CN"/>
        </w:rPr>
        <w:t>完成两化融合、制造业数字化转型等国家标准贯标</w:t>
      </w:r>
      <w:r>
        <w:rPr>
          <w:rFonts w:hint="eastAsia" w:ascii="Times New Roman" w:hAnsi="Times New Roman"/>
          <w:bCs/>
          <w:color w:val="auto"/>
          <w:szCs w:val="21"/>
          <w:highlight w:val="none"/>
        </w:rPr>
        <w:t>。</w:t>
      </w:r>
    </w:p>
    <w:p>
      <w:pPr>
        <w:spacing w:line="400" w:lineRule="exact"/>
        <w:ind w:firstLine="420" w:firstLineChars="200"/>
        <w:rPr>
          <w:rFonts w:hint="eastAsia" w:ascii="Times New Roman" w:hAnsi="Times New Roman"/>
          <w:bCs/>
          <w:color w:val="auto"/>
          <w:szCs w:val="21"/>
          <w:highlight w:val="none"/>
        </w:rPr>
      </w:pPr>
      <w:r>
        <w:rPr>
          <w:rFonts w:hint="default" w:ascii="Times New Roman" w:hAnsi="Times New Roman" w:eastAsia="黑体"/>
          <w:bCs w:val="0"/>
          <w:color w:val="auto"/>
          <w:szCs w:val="21"/>
          <w:highlight w:val="none"/>
        </w:rPr>
        <w:t>工业机器人数量</w:t>
      </w:r>
      <w:r>
        <w:rPr>
          <w:rFonts w:hint="eastAsia" w:ascii="Times New Roman" w:hAnsi="Times New Roman"/>
          <w:bCs/>
          <w:color w:val="auto"/>
          <w:szCs w:val="21"/>
          <w:highlight w:val="none"/>
          <w:lang w:eastAsia="zh-CN"/>
        </w:rPr>
        <w:t>指</w:t>
      </w:r>
      <w:r>
        <w:rPr>
          <w:rFonts w:hint="eastAsia" w:ascii="Times New Roman" w:hAnsi="Times New Roman"/>
          <w:bCs/>
          <w:color w:val="auto"/>
          <w:szCs w:val="21"/>
          <w:highlight w:val="none"/>
        </w:rPr>
        <w:t>工业机器人的保有量，即安装并使用的工业机器人总数。工业机器人是指在工业自动化的使用中，可对三个或三个以上轴进行编程的固定式或移动式，自动控制的、可重复编程、多用途的操作机。</w:t>
      </w:r>
    </w:p>
    <w:p>
      <w:pPr>
        <w:spacing w:line="400" w:lineRule="exact"/>
        <w:ind w:firstLine="420"/>
        <w:rPr>
          <w:rFonts w:hint="eastAsia" w:ascii="Times New Roman" w:hAnsi="Times New Roman"/>
          <w:bCs/>
          <w:color w:val="auto"/>
          <w:szCs w:val="21"/>
          <w:highlight w:val="none"/>
        </w:rPr>
      </w:pPr>
      <w:r>
        <w:rPr>
          <w:rFonts w:hint="default" w:ascii="Times New Roman" w:hAnsi="Times New Roman" w:eastAsia="黑体"/>
          <w:bCs w:val="0"/>
          <w:color w:val="auto"/>
          <w:szCs w:val="21"/>
          <w:highlight w:val="none"/>
          <w:lang w:eastAsia="zh-CN"/>
        </w:rPr>
        <w:t>研发准备金</w:t>
      </w:r>
      <w:r>
        <w:rPr>
          <w:rFonts w:hint="eastAsia" w:ascii="Times New Roman" w:hAnsi="Times New Roman"/>
          <w:bCs/>
          <w:color w:val="auto"/>
          <w:szCs w:val="21"/>
          <w:highlight w:val="none"/>
          <w:lang w:eastAsia="zh-CN"/>
        </w:rPr>
        <w:t>指</w:t>
      </w:r>
      <w:r>
        <w:rPr>
          <w:rFonts w:hint="eastAsia" w:ascii="Times New Roman" w:hAnsi="Times New Roman"/>
          <w:bCs/>
          <w:color w:val="auto"/>
          <w:szCs w:val="21"/>
          <w:highlight w:val="none"/>
        </w:rPr>
        <w:t>企业为保障研发项目的资金需要，在开展研发活动前或研发过程中提前储备的专门用于研发项目、单独核算的资金。</w:t>
      </w:r>
    </w:p>
    <w:p>
      <w:pPr>
        <w:spacing w:line="400" w:lineRule="exact"/>
        <w:ind w:firstLine="420"/>
        <w:rPr>
          <w:rFonts w:hint="default" w:ascii="Times New Roman" w:hAnsi="Times New Roman" w:eastAsia="宋体"/>
          <w:bCs/>
          <w:color w:val="auto"/>
          <w:szCs w:val="21"/>
          <w:highlight w:val="none"/>
          <w:lang w:eastAsia="zh-CN"/>
        </w:rPr>
      </w:pPr>
      <w:r>
        <w:rPr>
          <w:rFonts w:hint="default" w:ascii="Times New Roman" w:hAnsi="Times New Roman" w:eastAsia="黑体"/>
          <w:bCs w:val="0"/>
          <w:color w:val="auto"/>
          <w:szCs w:val="21"/>
          <w:highlight w:val="none"/>
          <w:lang w:eastAsia="zh-CN"/>
        </w:rPr>
        <w:t>企业通过</w:t>
      </w:r>
      <w:r>
        <w:rPr>
          <w:rFonts w:hint="default" w:ascii="Times New Roman" w:hAnsi="Times New Roman" w:eastAsia="黑体"/>
          <w:bCs w:val="0"/>
          <w:color w:val="auto"/>
          <w:szCs w:val="21"/>
          <w:highlight w:val="none"/>
        </w:rPr>
        <w:t>质量</w:t>
      </w:r>
      <w:r>
        <w:rPr>
          <w:rFonts w:hint="default" w:ascii="Times New Roman" w:hAnsi="Times New Roman" w:eastAsia="黑体"/>
          <w:bCs w:val="0"/>
          <w:color w:val="auto"/>
          <w:szCs w:val="21"/>
          <w:highlight w:val="none"/>
          <w:lang w:eastAsia="zh-CN"/>
        </w:rPr>
        <w:t>管理</w:t>
      </w:r>
      <w:r>
        <w:rPr>
          <w:rFonts w:hint="default" w:ascii="Times New Roman" w:hAnsi="Times New Roman" w:eastAsia="黑体"/>
          <w:bCs w:val="0"/>
          <w:color w:val="auto"/>
          <w:szCs w:val="21"/>
          <w:highlight w:val="none"/>
        </w:rPr>
        <w:t>体系认</w:t>
      </w:r>
      <w:r>
        <w:rPr>
          <w:rFonts w:hint="eastAsia" w:ascii="Times New Roman" w:hAnsi="Times New Roman" w:eastAsia="黑体"/>
          <w:bCs/>
          <w:color w:val="auto"/>
          <w:szCs w:val="21"/>
          <w:highlight w:val="none"/>
          <w:lang w:eastAsia="zh-CN"/>
        </w:rPr>
        <w:t>证</w:t>
      </w:r>
      <w:r>
        <w:rPr>
          <w:rFonts w:hint="eastAsia" w:ascii="Times New Roman" w:hAnsi="Times New Roman"/>
          <w:bCs/>
          <w:color w:val="auto"/>
          <w:szCs w:val="21"/>
          <w:highlight w:val="none"/>
          <w:lang w:eastAsia="zh-CN"/>
        </w:rPr>
        <w:t>指</w:t>
      </w:r>
      <w:r>
        <w:rPr>
          <w:rFonts w:hint="eastAsia" w:ascii="Times New Roman" w:hAnsi="Times New Roman"/>
          <w:bCs/>
          <w:color w:val="auto"/>
          <w:szCs w:val="21"/>
          <w:highlight w:val="none"/>
        </w:rPr>
        <w:t>经取得质量管理体系认证资格的第三方认证机构，依据正式发布的质量管理体系标准对企业的质量管理体系实施评定，评定合格并由第三方机构颁发质量管理体系认证证书并给予注册公布，且证书于报告期年底</w:t>
      </w:r>
      <w:r>
        <w:rPr>
          <w:rFonts w:hint="eastAsia" w:ascii="Times New Roman" w:hAnsi="Times New Roman"/>
          <w:bCs/>
          <w:color w:val="auto"/>
          <w:szCs w:val="21"/>
          <w:highlight w:val="none"/>
          <w:lang w:eastAsia="zh-CN"/>
        </w:rPr>
        <w:t>尚</w:t>
      </w:r>
      <w:r>
        <w:rPr>
          <w:rFonts w:hint="eastAsia" w:ascii="Times New Roman" w:hAnsi="Times New Roman"/>
          <w:bCs/>
          <w:color w:val="auto"/>
          <w:szCs w:val="21"/>
          <w:highlight w:val="none"/>
        </w:rPr>
        <w:t>在有效期内的企业。</w:t>
      </w:r>
    </w:p>
    <w:p>
      <w:pPr>
        <w:pStyle w:val="3"/>
        <w:ind w:firstLine="420" w:firstLineChars="200"/>
        <w:jc w:val="center"/>
        <w:rPr>
          <w:rFonts w:ascii="Times New Roman" w:hAnsi="Times New Roman"/>
          <w:bCs w:val="0"/>
          <w:color w:val="auto"/>
          <w:sz w:val="28"/>
          <w:szCs w:val="28"/>
          <w:highlight w:val="none"/>
        </w:rPr>
      </w:pPr>
      <w:r>
        <w:rPr>
          <w:rFonts w:ascii="Times New Roman" w:hAnsi="Times New Roman"/>
          <w:b w:val="0"/>
          <w:color w:val="auto"/>
          <w:kern w:val="2"/>
          <w:sz w:val="21"/>
          <w:szCs w:val="21"/>
          <w:highlight w:val="none"/>
        </w:rPr>
        <w:br w:type="page"/>
      </w:r>
      <w:bookmarkStart w:id="35" w:name="_Toc121734441"/>
      <w:r>
        <w:rPr>
          <w:rFonts w:ascii="Times New Roman" w:hAnsi="Times New Roman"/>
          <w:bCs w:val="0"/>
          <w:color w:val="auto"/>
          <w:sz w:val="28"/>
          <w:szCs w:val="28"/>
          <w:highlight w:val="none"/>
        </w:rPr>
        <w:t>经济概况</w:t>
      </w:r>
      <w:bookmarkEnd w:id="35"/>
    </w:p>
    <w:tbl>
      <w:tblPr>
        <w:tblStyle w:val="9"/>
        <w:tblW w:w="9540" w:type="dxa"/>
        <w:jc w:val="center"/>
        <w:tblLayout w:type="fixed"/>
        <w:tblCellMar>
          <w:top w:w="0" w:type="dxa"/>
          <w:left w:w="108" w:type="dxa"/>
          <w:bottom w:w="0" w:type="dxa"/>
          <w:right w:w="108" w:type="dxa"/>
        </w:tblCellMar>
      </w:tblPr>
      <w:tblGrid>
        <w:gridCol w:w="3180"/>
        <w:gridCol w:w="2127"/>
        <w:gridCol w:w="1113"/>
        <w:gridCol w:w="309"/>
        <w:gridCol w:w="756"/>
        <w:gridCol w:w="522"/>
        <w:gridCol w:w="1533"/>
      </w:tblGrid>
      <w:tr>
        <w:tblPrEx>
          <w:tblCellMar>
            <w:top w:w="0" w:type="dxa"/>
            <w:left w:w="108" w:type="dxa"/>
            <w:bottom w:w="0" w:type="dxa"/>
            <w:right w:w="108" w:type="dxa"/>
          </w:tblCellMar>
        </w:tblPrEx>
        <w:trPr>
          <w:trHeight w:val="283" w:hRule="atLeast"/>
          <w:jc w:val="center"/>
        </w:trPr>
        <w:tc>
          <w:tcPr>
            <w:tcW w:w="6420" w:type="dxa"/>
            <w:gridSpan w:val="3"/>
            <w:noWrap w:val="0"/>
            <w:vAlign w:val="center"/>
          </w:tcPr>
          <w:p>
            <w:pPr>
              <w:snapToGrid w:val="0"/>
              <w:spacing w:line="240" w:lineRule="exact"/>
              <w:rPr>
                <w:rFonts w:ascii="Times New Roman" w:hAnsi="Times New Roman"/>
                <w:bCs/>
                <w:color w:val="auto"/>
                <w:sz w:val="18"/>
                <w:szCs w:val="24"/>
                <w:highlight w:val="none"/>
              </w:rPr>
            </w:pPr>
          </w:p>
        </w:tc>
        <w:tc>
          <w:tcPr>
            <w:tcW w:w="1065" w:type="dxa"/>
            <w:gridSpan w:val="2"/>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表号：</w:t>
            </w:r>
          </w:p>
        </w:tc>
        <w:tc>
          <w:tcPr>
            <w:tcW w:w="2055" w:type="dxa"/>
            <w:gridSpan w:val="2"/>
            <w:noWrap w:val="0"/>
            <w:vAlign w:val="center"/>
          </w:tcPr>
          <w:p>
            <w:pPr>
              <w:spacing w:line="240" w:lineRule="exact"/>
              <w:jc w:val="right"/>
              <w:rPr>
                <w:rFonts w:ascii="Times New Roman" w:hAnsi="Times New Roman"/>
                <w:bCs/>
                <w:color w:val="auto"/>
                <w:sz w:val="18"/>
                <w:szCs w:val="24"/>
                <w:highlight w:val="none"/>
              </w:rPr>
            </w:pPr>
            <w:r>
              <w:rPr>
                <w:rFonts w:ascii="Times New Roman" w:hAnsi="Times New Roman"/>
                <w:bCs/>
                <w:color w:val="auto"/>
                <w:sz w:val="18"/>
                <w:szCs w:val="18"/>
                <w:highlight w:val="none"/>
              </w:rPr>
              <w:t>ＧＱ－００２</w:t>
            </w:r>
            <w:r>
              <w:rPr>
                <w:rFonts w:ascii="Times New Roman" w:hAnsi="Times New Roman"/>
                <w:bCs/>
                <w:color w:val="auto"/>
                <w:sz w:val="18"/>
                <w:highlight w:val="none"/>
              </w:rPr>
              <w:t>表</w:t>
            </w:r>
          </w:p>
        </w:tc>
      </w:tr>
      <w:tr>
        <w:tblPrEx>
          <w:tblCellMar>
            <w:top w:w="0" w:type="dxa"/>
            <w:left w:w="108" w:type="dxa"/>
            <w:bottom w:w="0" w:type="dxa"/>
            <w:right w:w="108" w:type="dxa"/>
          </w:tblCellMar>
        </w:tblPrEx>
        <w:trPr>
          <w:trHeight w:val="283" w:hRule="atLeast"/>
          <w:jc w:val="center"/>
        </w:trPr>
        <w:tc>
          <w:tcPr>
            <w:tcW w:w="6420" w:type="dxa"/>
            <w:gridSpan w:val="3"/>
            <w:noWrap w:val="0"/>
            <w:vAlign w:val="center"/>
          </w:tcPr>
          <w:p>
            <w:pPr>
              <w:snapToGrid w:val="0"/>
              <w:spacing w:line="240" w:lineRule="exact"/>
              <w:rPr>
                <w:rFonts w:ascii="Times New Roman" w:hAnsi="Times New Roman"/>
                <w:bCs/>
                <w:color w:val="auto"/>
                <w:sz w:val="18"/>
                <w:szCs w:val="24"/>
                <w:highlight w:val="none"/>
              </w:rPr>
            </w:pPr>
          </w:p>
        </w:tc>
        <w:tc>
          <w:tcPr>
            <w:tcW w:w="1065" w:type="dxa"/>
            <w:gridSpan w:val="2"/>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制定机关：</w:t>
            </w:r>
          </w:p>
        </w:tc>
        <w:tc>
          <w:tcPr>
            <w:tcW w:w="2055" w:type="dxa"/>
            <w:gridSpan w:val="2"/>
            <w:noWrap w:val="0"/>
            <w:vAlign w:val="center"/>
          </w:tcPr>
          <w:p>
            <w:pPr>
              <w:spacing w:line="240" w:lineRule="exact"/>
              <w:jc w:val="right"/>
              <w:rPr>
                <w:rFonts w:ascii="Times New Roman" w:hAnsi="Times New Roman"/>
                <w:bCs/>
                <w:color w:val="auto"/>
                <w:sz w:val="18"/>
                <w:szCs w:val="24"/>
                <w:highlight w:val="none"/>
              </w:rPr>
            </w:pPr>
            <w:r>
              <w:rPr>
                <w:rFonts w:hint="eastAsia" w:ascii="Times New Roman" w:hAnsi="Times New Roman"/>
                <w:bCs/>
                <w:color w:val="auto"/>
                <w:sz w:val="18"/>
                <w:highlight w:val="none"/>
                <w:lang w:val="en-US" w:eastAsia="zh-CN"/>
              </w:rPr>
              <w:t>工业和信息化</w:t>
            </w:r>
            <w:r>
              <w:rPr>
                <w:rFonts w:ascii="Times New Roman" w:hAnsi="Times New Roman"/>
                <w:bCs/>
                <w:color w:val="auto"/>
                <w:sz w:val="18"/>
                <w:highlight w:val="none"/>
              </w:rPr>
              <w:t>部</w:t>
            </w:r>
          </w:p>
        </w:tc>
      </w:tr>
      <w:tr>
        <w:tblPrEx>
          <w:tblCellMar>
            <w:top w:w="0" w:type="dxa"/>
            <w:left w:w="108" w:type="dxa"/>
            <w:bottom w:w="0" w:type="dxa"/>
            <w:right w:w="108" w:type="dxa"/>
          </w:tblCellMar>
        </w:tblPrEx>
        <w:trPr>
          <w:trHeight w:val="283" w:hRule="atLeast"/>
          <w:jc w:val="center"/>
        </w:trPr>
        <w:tc>
          <w:tcPr>
            <w:tcW w:w="6420" w:type="dxa"/>
            <w:gridSpan w:val="3"/>
            <w:noWrap w:val="0"/>
            <w:vAlign w:val="center"/>
          </w:tcPr>
          <w:p>
            <w:pPr>
              <w:snapToGrid w:val="0"/>
              <w:spacing w:line="240" w:lineRule="exact"/>
              <w:rPr>
                <w:rFonts w:ascii="宋体" w:hAnsi="宋体"/>
                <w:bCs/>
                <w:color w:val="auto"/>
                <w:sz w:val="18"/>
                <w:szCs w:val="24"/>
                <w:highlight w:val="none"/>
              </w:rPr>
            </w:pPr>
          </w:p>
        </w:tc>
        <w:tc>
          <w:tcPr>
            <w:tcW w:w="1065" w:type="dxa"/>
            <w:gridSpan w:val="2"/>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批准机关：</w:t>
            </w:r>
          </w:p>
        </w:tc>
        <w:tc>
          <w:tcPr>
            <w:tcW w:w="2055" w:type="dxa"/>
            <w:gridSpan w:val="2"/>
            <w:noWrap w:val="0"/>
            <w:vAlign w:val="center"/>
          </w:tcPr>
          <w:p>
            <w:pPr>
              <w:spacing w:line="240" w:lineRule="exact"/>
              <w:jc w:val="right"/>
              <w:rPr>
                <w:rFonts w:ascii="Times New Roman" w:hAnsi="Times New Roman"/>
                <w:bCs/>
                <w:color w:val="auto"/>
                <w:sz w:val="18"/>
                <w:szCs w:val="24"/>
                <w:highlight w:val="none"/>
              </w:rPr>
            </w:pPr>
            <w:r>
              <w:rPr>
                <w:rFonts w:ascii="Times New Roman" w:hAnsi="Times New Roman"/>
                <w:bCs/>
                <w:color w:val="auto"/>
                <w:sz w:val="18"/>
                <w:highlight w:val="none"/>
              </w:rPr>
              <w:t>国家统计局</w:t>
            </w:r>
          </w:p>
        </w:tc>
      </w:tr>
      <w:tr>
        <w:tblPrEx>
          <w:tblCellMar>
            <w:top w:w="0" w:type="dxa"/>
            <w:left w:w="108" w:type="dxa"/>
            <w:bottom w:w="0" w:type="dxa"/>
            <w:right w:w="108" w:type="dxa"/>
          </w:tblCellMar>
        </w:tblPrEx>
        <w:trPr>
          <w:trHeight w:val="283" w:hRule="atLeast"/>
          <w:jc w:val="center"/>
        </w:trPr>
        <w:tc>
          <w:tcPr>
            <w:tcW w:w="6420" w:type="dxa"/>
            <w:gridSpan w:val="3"/>
            <w:noWrap w:val="0"/>
            <w:vAlign w:val="center"/>
          </w:tcPr>
          <w:p>
            <w:pPr>
              <w:snapToGrid w:val="0"/>
              <w:spacing w:line="240" w:lineRule="exact"/>
              <w:rPr>
                <w:rFonts w:ascii="宋体" w:hAnsi="宋体"/>
                <w:bCs/>
                <w:color w:val="auto"/>
                <w:sz w:val="18"/>
                <w:szCs w:val="24"/>
                <w:highlight w:val="none"/>
              </w:rPr>
            </w:pPr>
            <w:r>
              <w:rPr>
                <w:rFonts w:ascii="宋体" w:hAnsi="宋体"/>
                <w:bCs/>
                <w:color w:val="auto"/>
                <w:sz w:val="18"/>
                <w:szCs w:val="24"/>
                <w:highlight w:val="none"/>
              </w:rPr>
              <w:t>统一社会信用代码</w:t>
            </w:r>
            <w:r>
              <w:rPr>
                <w:rFonts w:ascii="宋体" w:hAnsi="宋体"/>
                <w:bCs/>
                <w:color w:val="auto"/>
                <w:sz w:val="18"/>
                <w:szCs w:val="18"/>
                <w:highlight w:val="none"/>
              </w:rPr>
              <w:t>□□□□□□□□□□□□□□□□□□</w:t>
            </w:r>
          </w:p>
        </w:tc>
        <w:tc>
          <w:tcPr>
            <w:tcW w:w="1065" w:type="dxa"/>
            <w:gridSpan w:val="2"/>
            <w:noWrap w:val="0"/>
            <w:vAlign w:val="center"/>
          </w:tcPr>
          <w:p>
            <w:pPr>
              <w:pStyle w:val="13"/>
              <w:tabs>
                <w:tab w:val="left" w:pos="730"/>
              </w:tabs>
              <w:autoSpaceDE/>
              <w:autoSpaceDN/>
              <w:adjustRightInd/>
              <w:spacing w:before="14" w:line="240" w:lineRule="exact"/>
              <w:jc w:val="both"/>
              <w:rPr>
                <w:rFonts w:ascii="Times New Roman" w:hAnsi="Times New Roman"/>
                <w:bCs/>
                <w:color w:val="auto"/>
                <w:sz w:val="18"/>
                <w:szCs w:val="18"/>
                <w:highlight w:val="none"/>
              </w:rPr>
            </w:pPr>
            <w:r>
              <w:rPr>
                <w:rFonts w:ascii="Times New Roman" w:hAnsi="Times New Roman"/>
                <w:bCs/>
                <w:color w:val="auto"/>
                <w:sz w:val="18"/>
                <w:szCs w:val="18"/>
                <w:highlight w:val="none"/>
              </w:rPr>
              <w:t>批准文号：</w:t>
            </w:r>
          </w:p>
        </w:tc>
        <w:tc>
          <w:tcPr>
            <w:tcW w:w="2055" w:type="dxa"/>
            <w:gridSpan w:val="2"/>
            <w:noWrap w:val="0"/>
            <w:vAlign w:val="center"/>
          </w:tcPr>
          <w:p>
            <w:pPr>
              <w:spacing w:line="240" w:lineRule="exact"/>
              <w:jc w:val="right"/>
              <w:rPr>
                <w:rFonts w:ascii="Times New Roman" w:hAnsi="Times New Roman"/>
                <w:bCs/>
                <w:color w:val="auto"/>
                <w:sz w:val="18"/>
                <w:szCs w:val="18"/>
                <w:highlight w:val="none"/>
              </w:rPr>
            </w:pPr>
            <w:r>
              <w:rPr>
                <w:rFonts w:ascii="Times New Roman" w:hAnsi="Times New Roman"/>
                <w:bCs/>
                <w:color w:val="auto"/>
                <w:sz w:val="18"/>
                <w:highlight w:val="none"/>
              </w:rPr>
              <w:t>国统制〔202</w:t>
            </w:r>
            <w:r>
              <w:rPr>
                <w:rFonts w:hint="eastAsia" w:ascii="Times New Roman" w:hAnsi="Times New Roman"/>
                <w:bCs/>
                <w:color w:val="auto"/>
                <w:sz w:val="18"/>
                <w:highlight w:val="none"/>
                <w:lang w:val="en-US" w:eastAsia="zh-CN"/>
              </w:rPr>
              <w:t>4</w:t>
            </w:r>
            <w:r>
              <w:rPr>
                <w:rFonts w:ascii="Times New Roman" w:hAnsi="Times New Roman"/>
                <w:bCs/>
                <w:color w:val="auto"/>
                <w:sz w:val="18"/>
                <w:highlight w:val="none"/>
              </w:rPr>
              <w:t>〕</w:t>
            </w:r>
            <w:r>
              <w:rPr>
                <w:rFonts w:hint="eastAsia" w:ascii="Times New Roman" w:hAnsi="Times New Roman"/>
                <w:bCs/>
                <w:color w:val="auto"/>
                <w:sz w:val="18"/>
                <w:highlight w:val="none"/>
                <w:lang w:val="en-US" w:eastAsia="zh-CN"/>
              </w:rPr>
              <w:t>187</w:t>
            </w:r>
            <w:r>
              <w:rPr>
                <w:rFonts w:ascii="Times New Roman" w:hAnsi="Times New Roman"/>
                <w:bCs/>
                <w:color w:val="auto"/>
                <w:sz w:val="18"/>
                <w:highlight w:val="none"/>
              </w:rPr>
              <w:t>号</w:t>
            </w:r>
          </w:p>
        </w:tc>
      </w:tr>
      <w:tr>
        <w:tblPrEx>
          <w:tblCellMar>
            <w:top w:w="0" w:type="dxa"/>
            <w:left w:w="108" w:type="dxa"/>
            <w:bottom w:w="0" w:type="dxa"/>
            <w:right w:w="108" w:type="dxa"/>
          </w:tblCellMar>
        </w:tblPrEx>
        <w:trPr>
          <w:trHeight w:val="283" w:hRule="atLeast"/>
          <w:jc w:val="center"/>
        </w:trPr>
        <w:tc>
          <w:tcPr>
            <w:tcW w:w="3180" w:type="dxa"/>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企业（单位）详细名称：</w:t>
            </w:r>
          </w:p>
        </w:tc>
        <w:tc>
          <w:tcPr>
            <w:tcW w:w="3240" w:type="dxa"/>
            <w:gridSpan w:val="2"/>
            <w:noWrap w:val="0"/>
            <w:vAlign w:val="center"/>
          </w:tcPr>
          <w:p>
            <w:pPr>
              <w:snapToGrid w:val="0"/>
              <w:spacing w:line="240" w:lineRule="exac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 xml:space="preserve"> </w:t>
            </w:r>
            <w:r>
              <w:rPr>
                <w:rFonts w:ascii="Times New Roman" w:hAnsi="Times New Roman"/>
                <w:bCs/>
                <w:color w:val="auto"/>
                <w:sz w:val="18"/>
                <w:szCs w:val="18"/>
                <w:highlight w:val="none"/>
              </w:rPr>
              <w:t>２０</w:t>
            </w:r>
            <w:r>
              <w:rPr>
                <w:rFonts w:hint="eastAsia"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rPr>
              <w:t>年</w:t>
            </w:r>
          </w:p>
        </w:tc>
        <w:tc>
          <w:tcPr>
            <w:tcW w:w="1065" w:type="dxa"/>
            <w:gridSpan w:val="2"/>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有效期至：</w:t>
            </w:r>
          </w:p>
        </w:tc>
        <w:tc>
          <w:tcPr>
            <w:tcW w:w="2055" w:type="dxa"/>
            <w:gridSpan w:val="2"/>
            <w:noWrap w:val="0"/>
            <w:vAlign w:val="center"/>
          </w:tcPr>
          <w:p>
            <w:pPr>
              <w:spacing w:line="240" w:lineRule="exact"/>
              <w:jc w:val="right"/>
              <w:rPr>
                <w:rFonts w:ascii="Times New Roman" w:hAnsi="Times New Roman"/>
                <w:bCs/>
                <w:color w:val="auto"/>
                <w:sz w:val="18"/>
                <w:szCs w:val="18"/>
                <w:highlight w:val="none"/>
              </w:rPr>
            </w:pPr>
            <w:r>
              <w:rPr>
                <w:rFonts w:hint="eastAsia" w:ascii="Times New Roman" w:hAnsi="Times New Roman"/>
                <w:bCs/>
                <w:color w:val="auto"/>
                <w:sz w:val="18"/>
                <w:szCs w:val="18"/>
                <w:highlight w:val="none"/>
                <w:lang w:val="en-US" w:eastAsia="zh-CN"/>
              </w:rPr>
              <w:t>2027</w:t>
            </w:r>
            <w:r>
              <w:rPr>
                <w:rFonts w:ascii="Times New Roman" w:hAnsi="Times New Roman"/>
                <w:bCs/>
                <w:color w:val="auto"/>
                <w:sz w:val="18"/>
                <w:highlight w:val="none"/>
              </w:rPr>
              <w:t>年</w:t>
            </w:r>
            <w:r>
              <w:rPr>
                <w:rFonts w:hint="eastAsia" w:ascii="Times New Roman" w:hAnsi="Times New Roman"/>
                <w:bCs/>
                <w:color w:val="auto"/>
                <w:sz w:val="18"/>
                <w:highlight w:val="none"/>
                <w:lang w:val="en-US" w:eastAsia="zh-CN"/>
              </w:rPr>
              <w:t>12</w:t>
            </w:r>
            <w:r>
              <w:rPr>
                <w:rFonts w:ascii="Times New Roman" w:hAnsi="Times New Roman"/>
                <w:bCs/>
                <w:color w:val="auto"/>
                <w:sz w:val="18"/>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8" w:space="0"/>
              <w:left w:val="nil"/>
              <w:bottom w:val="single" w:color="auto" w:sz="4" w:space="0"/>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指标名称</w:t>
            </w:r>
          </w:p>
        </w:tc>
        <w:tc>
          <w:tcPr>
            <w:tcW w:w="1422" w:type="dxa"/>
            <w:gridSpan w:val="2"/>
            <w:tcBorders>
              <w:top w:val="single" w:color="auto" w:sz="8" w:space="0"/>
              <w:bottom w:val="single" w:color="auto" w:sz="4" w:space="0"/>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计量单位</w:t>
            </w:r>
          </w:p>
        </w:tc>
        <w:tc>
          <w:tcPr>
            <w:tcW w:w="1278" w:type="dxa"/>
            <w:gridSpan w:val="2"/>
            <w:tcBorders>
              <w:top w:val="single" w:color="auto" w:sz="8" w:space="0"/>
              <w:bottom w:val="single" w:color="auto" w:sz="4" w:space="0"/>
              <w:right w:val="nil"/>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代码</w:t>
            </w:r>
          </w:p>
        </w:tc>
        <w:tc>
          <w:tcPr>
            <w:tcW w:w="1533" w:type="dxa"/>
            <w:tcBorders>
              <w:top w:val="single" w:color="auto" w:sz="8" w:space="0"/>
              <w:bottom w:val="single" w:color="auto" w:sz="4" w:space="0"/>
              <w:right w:val="nil"/>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left w:val="nil"/>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甲</w:t>
            </w:r>
          </w:p>
        </w:tc>
        <w:tc>
          <w:tcPr>
            <w:tcW w:w="1422" w:type="dxa"/>
            <w:gridSpan w:val="2"/>
            <w:tcBorders>
              <w:left w:val="single" w:color="auto" w:sz="2" w:space="0"/>
              <w:bottom w:val="single" w:color="auto" w:sz="4"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乙</w:t>
            </w:r>
          </w:p>
        </w:tc>
        <w:tc>
          <w:tcPr>
            <w:tcW w:w="1278" w:type="dxa"/>
            <w:gridSpan w:val="2"/>
            <w:tcBorders>
              <w:bottom w:val="single" w:color="auto" w:sz="4" w:space="0"/>
              <w:right w:val="nil"/>
            </w:tcBorders>
            <w:noWrap w:val="0"/>
            <w:vAlign w:val="center"/>
          </w:tcPr>
          <w:p>
            <w:pPr>
              <w:spacing w:line="280" w:lineRule="exact"/>
              <w:ind w:left="-1" w:leftChars="-25" w:right="-78" w:rightChars="-37" w:hanging="52" w:hangingChars="29"/>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丙</w:t>
            </w:r>
          </w:p>
        </w:tc>
        <w:tc>
          <w:tcPr>
            <w:tcW w:w="1533" w:type="dxa"/>
            <w:tcBorders>
              <w:bottom w:val="single" w:color="auto" w:sz="4" w:space="0"/>
              <w:right w:val="nil"/>
            </w:tcBorders>
            <w:noWrap w:val="0"/>
            <w:vAlign w:val="center"/>
          </w:tcPr>
          <w:p>
            <w:pPr>
              <w:spacing w:line="280" w:lineRule="exact"/>
              <w:ind w:left="-1" w:leftChars="-25" w:right="-78" w:rightChars="-37" w:hanging="52" w:hangingChars="29"/>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left w:val="nil"/>
              <w:bottom w:val="single" w:color="auto" w:sz="4" w:space="0"/>
              <w:right w:val="single" w:color="auto" w:sz="2" w:space="0"/>
            </w:tcBorders>
            <w:noWrap w:val="0"/>
            <w:vAlign w:val="center"/>
          </w:tcPr>
          <w:p>
            <w:pPr>
              <w:spacing w:line="280" w:lineRule="exact"/>
              <w:rPr>
                <w:rFonts w:ascii="Calibri" w:hAnsi="Calibri" w:cs="Calibri"/>
                <w:bCs/>
                <w:color w:val="auto"/>
                <w:sz w:val="18"/>
                <w:szCs w:val="24"/>
                <w:highlight w:val="none"/>
              </w:rPr>
            </w:pPr>
            <w:r>
              <w:rPr>
                <w:rFonts w:ascii="Calibri" w:hAnsi="Calibri" w:cs="Calibri"/>
                <w:bCs/>
                <w:color w:val="auto"/>
                <w:sz w:val="18"/>
                <w:szCs w:val="24"/>
                <w:highlight w:val="none"/>
              </w:rPr>
              <w:t>工业总产值（当年价格）</w:t>
            </w:r>
          </w:p>
        </w:tc>
        <w:tc>
          <w:tcPr>
            <w:tcW w:w="1422" w:type="dxa"/>
            <w:gridSpan w:val="2"/>
            <w:tcBorders>
              <w:left w:val="single" w:color="auto" w:sz="2" w:space="0"/>
              <w:bottom w:val="single" w:color="auto" w:sz="4"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QC02</w:t>
            </w:r>
          </w:p>
        </w:tc>
        <w:tc>
          <w:tcPr>
            <w:tcW w:w="1533" w:type="dxa"/>
            <w:tcBorders>
              <w:bottom w:val="single" w:color="auto" w:sz="4" w:space="0"/>
              <w:right w:val="nil"/>
            </w:tcBorders>
            <w:noWrap w:val="0"/>
            <w:vAlign w:val="center"/>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rPr>
                <w:rFonts w:ascii="Calibri" w:hAnsi="Calibri" w:cs="Calibri"/>
                <w:bCs/>
                <w:color w:val="auto"/>
                <w:sz w:val="18"/>
                <w:szCs w:val="24"/>
                <w:highlight w:val="none"/>
              </w:rPr>
            </w:pPr>
            <w:r>
              <w:rPr>
                <w:rFonts w:ascii="Calibri" w:hAnsi="Calibri" w:cs="Calibri"/>
                <w:bCs/>
                <w:color w:val="auto"/>
                <w:sz w:val="18"/>
                <w:szCs w:val="24"/>
                <w:highlight w:val="none"/>
              </w:rPr>
              <w:t>营业收入</w:t>
            </w:r>
            <w:r>
              <w:rPr>
                <w:rFonts w:hint="eastAsia" w:ascii="Times New Roman" w:hAnsi="Times New Roman" w:eastAsia="宋体" w:cs="Times New Roman"/>
                <w:bCs/>
                <w:color w:val="auto"/>
                <w:sz w:val="18"/>
                <w:szCs w:val="18"/>
                <w:highlight w:val="none"/>
              </w:rPr>
              <w:t>（QC05_0＝QC06+QC07+QC10+QC49）</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QC05_0</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360" w:firstLineChars="200"/>
              <w:rPr>
                <w:rFonts w:ascii="Calibri" w:hAnsi="Calibri" w:cs="Calibri"/>
                <w:bCs/>
                <w:color w:val="auto"/>
                <w:sz w:val="18"/>
                <w:szCs w:val="24"/>
                <w:highlight w:val="none"/>
              </w:rPr>
            </w:pPr>
            <w:r>
              <w:rPr>
                <w:rFonts w:ascii="Calibri" w:hAnsi="Calibri" w:cs="Calibri"/>
                <w:bCs/>
                <w:color w:val="auto"/>
                <w:sz w:val="18"/>
                <w:szCs w:val="24"/>
                <w:highlight w:val="none"/>
              </w:rPr>
              <w:t>其中：主营业务收入</w:t>
            </w:r>
            <w:r>
              <w:rPr>
                <w:rFonts w:hint="eastAsia" w:ascii="Times New Roman" w:hAnsi="Times New Roman" w:eastAsia="宋体" w:cs="Times New Roman"/>
                <w:bCs/>
                <w:color w:val="auto"/>
                <w:sz w:val="18"/>
                <w:szCs w:val="18"/>
                <w:highlight w:val="none"/>
              </w:rPr>
              <w:t>（QC55≤QC05_0）</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QC55</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right="-78" w:rightChars="-37" w:firstLine="360" w:firstLineChars="200"/>
              <w:jc w:val="both"/>
              <w:rPr>
                <w:rFonts w:ascii="Calibri" w:hAnsi="Calibri" w:cs="Calibri"/>
                <w:bCs/>
                <w:color w:val="auto"/>
                <w:spacing w:val="-8"/>
                <w:sz w:val="18"/>
                <w:szCs w:val="24"/>
                <w:highlight w:val="none"/>
              </w:rPr>
            </w:pPr>
            <w:r>
              <w:rPr>
                <w:rFonts w:ascii="Calibri" w:hAnsi="Calibri" w:cs="Calibri"/>
                <w:bCs/>
                <w:color w:val="auto"/>
                <w:sz w:val="18"/>
                <w:szCs w:val="24"/>
                <w:highlight w:val="none"/>
              </w:rPr>
              <w:t>其中：技术收入</w:t>
            </w:r>
            <w:r>
              <w:rPr>
                <w:rFonts w:hint="eastAsia" w:ascii="Times New Roman" w:hAnsi="Times New Roman" w:eastAsia="宋体" w:cs="Times New Roman"/>
                <w:bCs/>
                <w:color w:val="auto"/>
                <w:sz w:val="18"/>
                <w:szCs w:val="18"/>
                <w:highlight w:val="none"/>
              </w:rPr>
              <w:t>(QC06≥QC06_1+QC06_2+QC06_3+QC06_4）</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QC06</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900" w:firstLineChars="500"/>
              <w:rPr>
                <w:rFonts w:ascii="Calibri" w:hAnsi="Calibri" w:cs="Calibri"/>
                <w:bCs/>
                <w:color w:val="auto"/>
                <w:sz w:val="18"/>
                <w:szCs w:val="24"/>
                <w:highlight w:val="none"/>
              </w:rPr>
            </w:pPr>
            <w:r>
              <w:rPr>
                <w:rFonts w:ascii="Calibri" w:hAnsi="Calibri" w:cs="Calibri"/>
                <w:bCs/>
                <w:color w:val="auto"/>
                <w:sz w:val="18"/>
                <w:szCs w:val="24"/>
                <w:highlight w:val="none"/>
              </w:rPr>
              <w:t>其中：技术转让收入</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QC06_1</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1440" w:firstLineChars="800"/>
              <w:rPr>
                <w:rFonts w:ascii="Calibri" w:hAnsi="Calibri" w:cs="Calibri"/>
                <w:bCs/>
                <w:color w:val="auto"/>
                <w:sz w:val="18"/>
                <w:szCs w:val="24"/>
                <w:highlight w:val="none"/>
              </w:rPr>
            </w:pPr>
            <w:r>
              <w:rPr>
                <w:rFonts w:ascii="Calibri" w:hAnsi="Calibri" w:cs="Calibri"/>
                <w:bCs/>
                <w:color w:val="auto"/>
                <w:sz w:val="18"/>
                <w:szCs w:val="24"/>
                <w:highlight w:val="none"/>
              </w:rPr>
              <w:t>技术承包收入</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QC06_2</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1440" w:firstLineChars="800"/>
              <w:rPr>
                <w:rFonts w:ascii="Calibri" w:hAnsi="Calibri" w:cs="Calibri"/>
                <w:bCs/>
                <w:color w:val="auto"/>
                <w:sz w:val="18"/>
                <w:szCs w:val="24"/>
                <w:highlight w:val="none"/>
              </w:rPr>
            </w:pPr>
            <w:r>
              <w:rPr>
                <w:rFonts w:ascii="Calibri" w:hAnsi="Calibri" w:cs="Calibri"/>
                <w:bCs/>
                <w:color w:val="auto"/>
                <w:sz w:val="18"/>
                <w:szCs w:val="24"/>
                <w:highlight w:val="none"/>
              </w:rPr>
              <w:t>技术咨询与服务收入</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QC06_3</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1440" w:firstLineChars="800"/>
              <w:rPr>
                <w:rFonts w:ascii="Calibri" w:hAnsi="Calibri" w:cs="Calibri"/>
                <w:bCs/>
                <w:color w:val="auto"/>
                <w:sz w:val="18"/>
                <w:szCs w:val="24"/>
                <w:highlight w:val="none"/>
              </w:rPr>
            </w:pPr>
            <w:r>
              <w:rPr>
                <w:rFonts w:ascii="Calibri" w:hAnsi="Calibri" w:cs="Calibri"/>
                <w:bCs/>
                <w:color w:val="auto"/>
                <w:sz w:val="18"/>
                <w:szCs w:val="24"/>
                <w:highlight w:val="none"/>
              </w:rPr>
              <w:t>接受委托研究开发收入</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QC06_4</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360" w:firstLineChars="200"/>
              <w:rPr>
                <w:rFonts w:ascii="Calibri" w:hAnsi="Calibri" w:cs="Calibri"/>
                <w:bCs/>
                <w:color w:val="auto"/>
                <w:sz w:val="18"/>
                <w:szCs w:val="24"/>
                <w:highlight w:val="none"/>
              </w:rPr>
            </w:pPr>
            <w:r>
              <w:rPr>
                <w:rFonts w:ascii="Calibri" w:hAnsi="Calibri" w:cs="Calibri"/>
                <w:bCs/>
                <w:color w:val="auto"/>
                <w:sz w:val="18"/>
                <w:szCs w:val="24"/>
                <w:highlight w:val="none"/>
              </w:rPr>
              <w:t>其中：产品销售收入</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QC07</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tabs>
                <w:tab w:val="right" w:pos="4771"/>
              </w:tabs>
              <w:spacing w:line="280" w:lineRule="exact"/>
              <w:ind w:firstLine="1260" w:firstLineChars="700"/>
              <w:rPr>
                <w:rFonts w:ascii="Calibri" w:hAnsi="Calibri" w:cs="Calibri"/>
                <w:bCs/>
                <w:color w:val="auto"/>
                <w:sz w:val="18"/>
                <w:szCs w:val="24"/>
                <w:highlight w:val="none"/>
              </w:rPr>
            </w:pPr>
            <w:r>
              <w:rPr>
                <w:rFonts w:ascii="Calibri" w:hAnsi="Calibri" w:cs="Calibri"/>
                <w:bCs/>
                <w:color w:val="auto"/>
                <w:sz w:val="18"/>
                <w:szCs w:val="24"/>
                <w:highlight w:val="none"/>
              </w:rPr>
              <w:t>其中：高新技术产品销售收入</w:t>
            </w:r>
            <w:r>
              <w:rPr>
                <w:rFonts w:hint="eastAsia" w:ascii="Times New Roman" w:hAnsi="Times New Roman" w:eastAsia="宋体" w:cs="Times New Roman"/>
                <w:bCs/>
                <w:color w:val="auto"/>
                <w:sz w:val="18"/>
                <w:szCs w:val="18"/>
                <w:highlight w:val="none"/>
              </w:rPr>
              <w:t>（QC09≤QC07）</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QC09</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360" w:firstLineChars="200"/>
              <w:rPr>
                <w:rFonts w:ascii="Calibri" w:hAnsi="Calibri" w:cs="Calibri"/>
                <w:bCs/>
                <w:color w:val="auto"/>
                <w:sz w:val="18"/>
                <w:szCs w:val="24"/>
                <w:highlight w:val="none"/>
              </w:rPr>
            </w:pPr>
            <w:r>
              <w:rPr>
                <w:rFonts w:ascii="Calibri" w:hAnsi="Calibri" w:cs="Calibri"/>
                <w:bCs/>
                <w:color w:val="auto"/>
                <w:sz w:val="18"/>
                <w:szCs w:val="24"/>
                <w:highlight w:val="none"/>
              </w:rPr>
              <w:t>其中：商品销售收入</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QC10</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360" w:firstLineChars="200"/>
              <w:rPr>
                <w:rFonts w:ascii="Calibri" w:hAnsi="Calibri" w:cs="Calibri"/>
                <w:bCs/>
                <w:color w:val="auto"/>
                <w:sz w:val="18"/>
                <w:szCs w:val="24"/>
                <w:highlight w:val="none"/>
              </w:rPr>
            </w:pPr>
            <w:r>
              <w:rPr>
                <w:rFonts w:ascii="Calibri" w:hAnsi="Calibri" w:cs="Calibri"/>
                <w:bCs/>
                <w:color w:val="auto"/>
                <w:sz w:val="18"/>
                <w:szCs w:val="24"/>
                <w:highlight w:val="none"/>
              </w:rPr>
              <w:t>其中：其他营业收入</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QC49</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rPr>
                <w:rFonts w:ascii="Calibri" w:hAnsi="Calibri" w:cs="Calibri"/>
                <w:bCs/>
                <w:color w:val="auto"/>
                <w:sz w:val="18"/>
                <w:szCs w:val="24"/>
                <w:highlight w:val="none"/>
              </w:rPr>
            </w:pPr>
            <w:r>
              <w:rPr>
                <w:rFonts w:ascii="Calibri" w:hAnsi="Calibri" w:cs="Calibri"/>
                <w:bCs/>
                <w:color w:val="auto"/>
                <w:sz w:val="18"/>
                <w:szCs w:val="24"/>
                <w:highlight w:val="none"/>
              </w:rPr>
              <w:t>进出口总额</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QC52</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360" w:firstLineChars="200"/>
              <w:rPr>
                <w:rFonts w:ascii="Calibri" w:hAnsi="Calibri" w:cs="Calibri"/>
                <w:bCs/>
                <w:color w:val="auto"/>
                <w:sz w:val="18"/>
                <w:szCs w:val="24"/>
                <w:highlight w:val="none"/>
              </w:rPr>
            </w:pPr>
            <w:r>
              <w:rPr>
                <w:rFonts w:ascii="Calibri" w:hAnsi="Calibri" w:cs="Calibri"/>
                <w:bCs/>
                <w:color w:val="auto"/>
                <w:sz w:val="18"/>
                <w:szCs w:val="24"/>
                <w:highlight w:val="none"/>
              </w:rPr>
              <w:t>其中：出口总额</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11≤</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05_0，</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11≥</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38，</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11≥</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11_1）</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QC11</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spacing w:line="280" w:lineRule="exact"/>
              <w:ind w:firstLine="900" w:firstLineChars="500"/>
              <w:rPr>
                <w:rFonts w:ascii="Calibri" w:hAnsi="Calibri" w:cs="Calibri"/>
                <w:bCs/>
                <w:color w:val="auto"/>
                <w:sz w:val="18"/>
                <w:szCs w:val="24"/>
                <w:highlight w:val="none"/>
              </w:rPr>
            </w:pPr>
            <w:r>
              <w:rPr>
                <w:rFonts w:ascii="Calibri" w:hAnsi="Calibri" w:cs="Calibri"/>
                <w:bCs/>
                <w:color w:val="auto"/>
                <w:sz w:val="18"/>
                <w:szCs w:val="24"/>
                <w:highlight w:val="none"/>
              </w:rPr>
              <w:t>其中：高新技术产品出口</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QC38</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right w:val="single" w:color="auto" w:sz="2" w:space="0"/>
            </w:tcBorders>
            <w:noWrap w:val="0"/>
            <w:vAlign w:val="center"/>
          </w:tcPr>
          <w:p>
            <w:pPr>
              <w:tabs>
                <w:tab w:val="center" w:pos="2863"/>
              </w:tabs>
              <w:spacing w:line="280" w:lineRule="exact"/>
              <w:ind w:firstLine="1440" w:firstLineChars="800"/>
              <w:rPr>
                <w:rFonts w:ascii="Calibri" w:hAnsi="Calibri" w:cs="Calibri"/>
                <w:bCs/>
                <w:color w:val="auto"/>
                <w:sz w:val="18"/>
                <w:szCs w:val="24"/>
                <w:highlight w:val="none"/>
              </w:rPr>
            </w:pPr>
            <w:r>
              <w:rPr>
                <w:rFonts w:ascii="Calibri" w:hAnsi="Calibri" w:cs="Calibri"/>
                <w:bCs/>
                <w:color w:val="auto"/>
                <w:kern w:val="0"/>
                <w:sz w:val="18"/>
                <w:szCs w:val="18"/>
                <w:highlight w:val="none"/>
              </w:rPr>
              <w:t>技术服务出口</w:t>
            </w:r>
          </w:p>
        </w:tc>
        <w:tc>
          <w:tcPr>
            <w:tcW w:w="1422" w:type="dxa"/>
            <w:gridSpan w:val="2"/>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kern w:val="0"/>
                <w:sz w:val="18"/>
                <w:szCs w:val="18"/>
                <w:highlight w:val="none"/>
              </w:rPr>
              <w:t>QC11_1</w:t>
            </w:r>
          </w:p>
        </w:tc>
        <w:tc>
          <w:tcPr>
            <w:tcW w:w="1533"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rPr>
                <w:rFonts w:ascii="Calibri" w:hAnsi="Calibri" w:cs="Calibri"/>
                <w:bCs/>
                <w:color w:val="auto"/>
                <w:sz w:val="18"/>
                <w:szCs w:val="24"/>
                <w:highlight w:val="none"/>
              </w:rPr>
            </w:pPr>
            <w:r>
              <w:rPr>
                <w:rFonts w:ascii="Calibri" w:hAnsi="Calibri" w:cs="Calibri"/>
                <w:bCs/>
                <w:color w:val="auto"/>
                <w:sz w:val="18"/>
                <w:szCs w:val="24"/>
                <w:highlight w:val="none"/>
              </w:rPr>
              <w:t>营业成本</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QC220</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rPr>
                <w:rFonts w:ascii="Calibri" w:hAnsi="Calibri" w:cs="Calibri"/>
                <w:bCs/>
                <w:color w:val="auto"/>
                <w:sz w:val="18"/>
                <w:szCs w:val="24"/>
                <w:highlight w:val="none"/>
              </w:rPr>
            </w:pPr>
            <w:r>
              <w:rPr>
                <w:rFonts w:ascii="Calibri" w:hAnsi="Calibri" w:cs="Calibri"/>
                <w:bCs/>
                <w:color w:val="auto"/>
                <w:sz w:val="18"/>
                <w:szCs w:val="24"/>
                <w:highlight w:val="none"/>
              </w:rPr>
              <w:t>税金及附加</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QC221</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rPr>
                <w:rFonts w:ascii="Calibri" w:hAnsi="Calibri" w:cs="Calibri"/>
                <w:bCs/>
                <w:color w:val="auto"/>
                <w:sz w:val="18"/>
                <w:szCs w:val="24"/>
                <w:highlight w:val="none"/>
              </w:rPr>
            </w:pPr>
            <w:r>
              <w:rPr>
                <w:rFonts w:ascii="Calibri" w:hAnsi="Calibri" w:cs="Calibri"/>
                <w:bCs/>
                <w:color w:val="auto"/>
                <w:sz w:val="18"/>
                <w:szCs w:val="18"/>
                <w:highlight w:val="none"/>
              </w:rPr>
              <w:t>销售费用</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QC222</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rPr>
                <w:rFonts w:ascii="Calibri" w:hAnsi="Calibri" w:cs="Calibri"/>
                <w:bCs/>
                <w:color w:val="auto"/>
                <w:sz w:val="18"/>
                <w:szCs w:val="24"/>
                <w:highlight w:val="none"/>
              </w:rPr>
            </w:pPr>
            <w:r>
              <w:rPr>
                <w:rFonts w:ascii="Calibri" w:hAnsi="Calibri" w:cs="Calibri"/>
                <w:bCs/>
                <w:color w:val="auto"/>
                <w:sz w:val="18"/>
                <w:szCs w:val="24"/>
                <w:highlight w:val="none"/>
              </w:rPr>
              <w:t>管理费用</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QC223</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rPr>
                <w:rFonts w:ascii="Calibri" w:hAnsi="Calibri" w:cs="Calibri"/>
                <w:bCs/>
                <w:color w:val="auto"/>
                <w:sz w:val="18"/>
                <w:szCs w:val="24"/>
                <w:highlight w:val="none"/>
              </w:rPr>
            </w:pPr>
            <w:r>
              <w:rPr>
                <w:rFonts w:ascii="Calibri" w:hAnsi="Calibri" w:cs="Calibri"/>
                <w:bCs/>
                <w:color w:val="auto"/>
                <w:sz w:val="18"/>
                <w:szCs w:val="24"/>
                <w:highlight w:val="none"/>
              </w:rPr>
              <w:t>研发费用</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QC236</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jc w:val="left"/>
              <w:rPr>
                <w:rFonts w:ascii="Calibri" w:hAnsi="Calibri" w:eastAsia="Arial Unicode MS" w:cs="Calibri"/>
                <w:bCs/>
                <w:color w:val="auto"/>
                <w:kern w:val="0"/>
                <w:sz w:val="18"/>
                <w:szCs w:val="18"/>
                <w:highlight w:val="none"/>
              </w:rPr>
            </w:pPr>
            <w:r>
              <w:rPr>
                <w:rFonts w:ascii="Calibri" w:hAnsi="Calibri" w:cs="Calibri"/>
                <w:bCs/>
                <w:color w:val="auto"/>
                <w:sz w:val="18"/>
                <w:szCs w:val="18"/>
                <w:highlight w:val="none"/>
              </w:rPr>
              <w:t>财务费用</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jc w:val="center"/>
              <w:rPr>
                <w:rFonts w:cs="Calibri"/>
                <w:bCs/>
                <w:color w:val="auto"/>
                <w:sz w:val="18"/>
                <w:szCs w:val="24"/>
                <w:highlight w:val="none"/>
              </w:rPr>
            </w:pPr>
            <w:r>
              <w:rPr>
                <w:rFonts w:cs="Calibri"/>
                <w:bCs/>
                <w:color w:val="auto"/>
                <w:sz w:val="18"/>
                <w:szCs w:val="24"/>
                <w:highlight w:val="none"/>
              </w:rPr>
              <w:t>QC224</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jc w:val="left"/>
              <w:rPr>
                <w:rFonts w:ascii="宋体" w:hAnsi="宋体" w:cs="Calibri"/>
                <w:bCs/>
                <w:color w:val="auto"/>
                <w:sz w:val="18"/>
                <w:szCs w:val="24"/>
                <w:highlight w:val="none"/>
              </w:rPr>
            </w:pPr>
            <w:r>
              <w:rPr>
                <w:rFonts w:ascii="宋体" w:hAnsi="宋体" w:cs="Calibri"/>
                <w:bCs/>
                <w:color w:val="auto"/>
                <w:sz w:val="18"/>
                <w:szCs w:val="24"/>
                <w:highlight w:val="none"/>
              </w:rPr>
              <w:t>资产减值损失（损失以“-”号记）</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QC228</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napToGrid w:val="0"/>
              <w:spacing w:line="280" w:lineRule="exact"/>
              <w:jc w:val="left"/>
              <w:rPr>
                <w:rFonts w:ascii="宋体" w:hAnsi="宋体" w:cs="Calibri"/>
                <w:bCs/>
                <w:color w:val="auto"/>
                <w:sz w:val="18"/>
                <w:szCs w:val="18"/>
                <w:highlight w:val="none"/>
              </w:rPr>
            </w:pPr>
            <w:r>
              <w:rPr>
                <w:rFonts w:ascii="宋体" w:hAnsi="宋体" w:cs="Calibri"/>
                <w:bCs/>
                <w:color w:val="auto"/>
                <w:sz w:val="18"/>
                <w:szCs w:val="18"/>
                <w:highlight w:val="none"/>
              </w:rPr>
              <w:t>信用减值损失</w:t>
            </w:r>
            <w:r>
              <w:rPr>
                <w:rFonts w:ascii="宋体" w:hAnsi="宋体" w:cs="Calibri"/>
                <w:bCs/>
                <w:color w:val="auto"/>
                <w:sz w:val="18"/>
                <w:szCs w:val="24"/>
                <w:highlight w:val="none"/>
              </w:rPr>
              <w:t>（损失以“-”号记）</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QC235</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jc w:val="left"/>
              <w:rPr>
                <w:rFonts w:ascii="宋体" w:hAnsi="宋体" w:cs="Calibri"/>
                <w:bCs/>
                <w:color w:val="auto"/>
                <w:sz w:val="18"/>
                <w:szCs w:val="24"/>
                <w:highlight w:val="none"/>
              </w:rPr>
            </w:pPr>
            <w:r>
              <w:rPr>
                <w:rFonts w:ascii="宋体" w:hAnsi="宋体" w:cs="Calibri"/>
                <w:bCs/>
                <w:color w:val="auto"/>
                <w:sz w:val="18"/>
                <w:szCs w:val="24"/>
                <w:highlight w:val="none"/>
              </w:rPr>
              <w:t>公允价值变动收益（损失以“-”号记）</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QC229</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jc w:val="left"/>
              <w:rPr>
                <w:rFonts w:ascii="宋体" w:hAnsi="宋体" w:cs="Calibri"/>
                <w:bCs/>
                <w:color w:val="auto"/>
                <w:sz w:val="18"/>
                <w:szCs w:val="24"/>
                <w:highlight w:val="none"/>
              </w:rPr>
            </w:pPr>
            <w:r>
              <w:rPr>
                <w:rFonts w:ascii="宋体" w:hAnsi="宋体" w:cs="Calibri"/>
                <w:bCs/>
                <w:color w:val="auto"/>
                <w:sz w:val="18"/>
                <w:szCs w:val="24"/>
                <w:highlight w:val="none"/>
              </w:rPr>
              <w:t>投资收益（损失以“-”号记）</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QC225</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4" w:space="0"/>
            </w:tcBorders>
            <w:noWrap w:val="0"/>
            <w:vAlign w:val="center"/>
          </w:tcPr>
          <w:p>
            <w:pPr>
              <w:spacing w:line="280" w:lineRule="exact"/>
              <w:jc w:val="left"/>
              <w:rPr>
                <w:rFonts w:ascii="宋体" w:hAnsi="宋体" w:cs="Calibri"/>
                <w:bCs/>
                <w:color w:val="auto"/>
                <w:sz w:val="18"/>
                <w:szCs w:val="24"/>
                <w:highlight w:val="none"/>
              </w:rPr>
            </w:pPr>
            <w:r>
              <w:rPr>
                <w:rFonts w:ascii="宋体" w:hAnsi="宋体" w:cs="Calibri"/>
                <w:bCs/>
                <w:color w:val="auto"/>
                <w:sz w:val="18"/>
                <w:szCs w:val="24"/>
                <w:highlight w:val="none"/>
              </w:rPr>
              <w:t>净敞口套期收益（损失以“-”号记）</w:t>
            </w:r>
          </w:p>
        </w:tc>
        <w:tc>
          <w:tcPr>
            <w:tcW w:w="1422" w:type="dxa"/>
            <w:gridSpan w:val="2"/>
            <w:tcBorders>
              <w:top w:val="single" w:color="auto" w:sz="4" w:space="0"/>
              <w:bottom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QC239</w:t>
            </w:r>
          </w:p>
        </w:tc>
        <w:tc>
          <w:tcPr>
            <w:tcW w:w="1533" w:type="dxa"/>
            <w:tcBorders>
              <w:top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7" w:type="dxa"/>
            <w:gridSpan w:val="2"/>
            <w:tcBorders>
              <w:top w:val="single" w:color="auto" w:sz="4" w:space="0"/>
              <w:left w:val="nil"/>
              <w:bottom w:val="single" w:color="auto" w:sz="8" w:space="0"/>
              <w:right w:val="single" w:color="auto" w:sz="4" w:space="0"/>
            </w:tcBorders>
            <w:noWrap w:val="0"/>
            <w:vAlign w:val="center"/>
          </w:tcPr>
          <w:p>
            <w:pPr>
              <w:snapToGrid w:val="0"/>
              <w:spacing w:line="280" w:lineRule="exact"/>
              <w:jc w:val="left"/>
              <w:rPr>
                <w:rFonts w:ascii="宋体" w:hAnsi="宋体" w:cs="Calibri"/>
                <w:bCs/>
                <w:color w:val="auto"/>
                <w:sz w:val="18"/>
                <w:szCs w:val="18"/>
                <w:highlight w:val="none"/>
              </w:rPr>
            </w:pPr>
            <w:r>
              <w:rPr>
                <w:rFonts w:ascii="宋体" w:hAnsi="宋体" w:cs="Calibri"/>
                <w:bCs/>
                <w:color w:val="auto"/>
                <w:sz w:val="18"/>
                <w:szCs w:val="18"/>
                <w:highlight w:val="none"/>
              </w:rPr>
              <w:t>资产处置收益(损失以“-”号记)</w:t>
            </w:r>
          </w:p>
        </w:tc>
        <w:tc>
          <w:tcPr>
            <w:tcW w:w="1422" w:type="dxa"/>
            <w:gridSpan w:val="2"/>
            <w:tcBorders>
              <w:top w:val="single" w:color="auto" w:sz="4" w:space="0"/>
              <w:left w:val="single" w:color="auto" w:sz="4" w:space="0"/>
              <w:bottom w:val="single" w:color="auto" w:sz="8" w:space="0"/>
              <w:right w:val="single" w:color="auto" w:sz="4" w:space="0"/>
            </w:tcBorders>
            <w:noWrap w:val="0"/>
            <w:vAlign w:val="center"/>
          </w:tcPr>
          <w:p>
            <w:pPr>
              <w:spacing w:line="280" w:lineRule="exact"/>
              <w:ind w:right="-65" w:rightChars="-31"/>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千元</w:t>
            </w:r>
          </w:p>
        </w:tc>
        <w:tc>
          <w:tcPr>
            <w:tcW w:w="1278" w:type="dxa"/>
            <w:gridSpan w:val="2"/>
            <w:tcBorders>
              <w:top w:val="single" w:color="auto" w:sz="4" w:space="0"/>
              <w:left w:val="single" w:color="auto" w:sz="4" w:space="0"/>
              <w:bottom w:val="single" w:color="auto" w:sz="8"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QC233</w:t>
            </w:r>
          </w:p>
        </w:tc>
        <w:tc>
          <w:tcPr>
            <w:tcW w:w="1533" w:type="dxa"/>
            <w:tcBorders>
              <w:top w:val="single" w:color="auto" w:sz="4" w:space="0"/>
              <w:left w:val="single" w:color="auto" w:sz="4" w:space="0"/>
              <w:bottom w:val="single" w:color="auto" w:sz="8"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sz w:val="18"/>
                <w:szCs w:val="24"/>
                <w:highlight w:val="none"/>
              </w:rPr>
            </w:pPr>
          </w:p>
        </w:tc>
      </w:tr>
    </w:tbl>
    <w:p>
      <w:pPr>
        <w:rPr>
          <w:rFonts w:ascii="Times New Roman" w:hAnsi="Times New Roman"/>
          <w:bCs/>
          <w:color w:val="auto"/>
          <w:highlight w:val="none"/>
        </w:rPr>
      </w:pPr>
      <w:r>
        <w:rPr>
          <w:rFonts w:ascii="Times New Roman" w:hAnsi="Times New Roman"/>
          <w:bCs/>
          <w:color w:val="auto"/>
          <w:szCs w:val="24"/>
          <w:highlight w:val="none"/>
        </w:rPr>
        <w:br w:type="page"/>
      </w:r>
      <w:r>
        <w:rPr>
          <w:rFonts w:ascii="Times New Roman" w:hAnsi="Times New Roman"/>
          <w:bCs/>
          <w:color w:val="auto"/>
          <w:sz w:val="18"/>
          <w:szCs w:val="18"/>
          <w:highlight w:val="none"/>
        </w:rPr>
        <w:t>续表</w:t>
      </w:r>
      <w:r>
        <w:rPr>
          <w:rFonts w:hint="eastAsia" w:ascii="Times New Roman" w:hAnsi="Times New Roman"/>
          <w:bCs/>
          <w:color w:val="auto"/>
          <w:sz w:val="18"/>
          <w:szCs w:val="18"/>
          <w:highlight w:val="none"/>
          <w:lang w:eastAsia="zh-CN"/>
        </w:rPr>
        <w:t>一</w:t>
      </w:r>
      <w:r>
        <w:rPr>
          <w:rFonts w:ascii="Times New Roman" w:hAnsi="Times New Roman"/>
          <w:bCs/>
          <w:color w:val="auto"/>
          <w:sz w:val="18"/>
          <w:szCs w:val="18"/>
          <w:highlight w:val="none"/>
        </w:rPr>
        <w:t>：</w:t>
      </w:r>
    </w:p>
    <w:tbl>
      <w:tblPr>
        <w:tblStyle w:val="9"/>
        <w:tblW w:w="9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0"/>
        <w:gridCol w:w="1419"/>
        <w:gridCol w:w="1281"/>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8" w:space="0"/>
              <w:left w:val="nil"/>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指标名称</w:t>
            </w:r>
          </w:p>
        </w:tc>
        <w:tc>
          <w:tcPr>
            <w:tcW w:w="1419" w:type="dxa"/>
            <w:tcBorders>
              <w:top w:val="single" w:color="auto" w:sz="8" w:space="0"/>
              <w:left w:val="single" w:color="auto" w:sz="2" w:space="0"/>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计量单位</w:t>
            </w:r>
          </w:p>
        </w:tc>
        <w:tc>
          <w:tcPr>
            <w:tcW w:w="1281" w:type="dxa"/>
            <w:tcBorders>
              <w:top w:val="single" w:color="auto" w:sz="8"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代码</w:t>
            </w:r>
          </w:p>
        </w:tc>
        <w:tc>
          <w:tcPr>
            <w:tcW w:w="1481" w:type="dxa"/>
            <w:tcBorders>
              <w:top w:val="single" w:color="auto" w:sz="8"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left w:val="nil"/>
              <w:bottom w:val="single" w:color="auto" w:sz="4" w:space="0"/>
              <w:right w:val="single" w:color="auto" w:sz="2"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甲</w:t>
            </w:r>
          </w:p>
        </w:tc>
        <w:tc>
          <w:tcPr>
            <w:tcW w:w="1419" w:type="dxa"/>
            <w:tcBorders>
              <w:left w:val="single" w:color="auto" w:sz="2" w:space="0"/>
              <w:bottom w:val="single" w:color="auto" w:sz="4" w:space="0"/>
            </w:tcBorders>
            <w:noWrap w:val="0"/>
            <w:vAlign w:val="center"/>
          </w:tcPr>
          <w:p>
            <w:pPr>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乙</w:t>
            </w:r>
          </w:p>
        </w:tc>
        <w:tc>
          <w:tcPr>
            <w:tcW w:w="1281" w:type="dxa"/>
            <w:tcBorders>
              <w:bottom w:val="single" w:color="auto" w:sz="4" w:space="0"/>
              <w:right w:val="nil"/>
            </w:tcBorders>
            <w:noWrap w:val="0"/>
            <w:vAlign w:val="center"/>
          </w:tcPr>
          <w:p>
            <w:pPr>
              <w:spacing w:line="280" w:lineRule="exact"/>
              <w:ind w:left="-1" w:leftChars="-25" w:right="-78" w:rightChars="-37" w:hanging="52" w:hangingChars="29"/>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丙</w:t>
            </w:r>
          </w:p>
        </w:tc>
        <w:tc>
          <w:tcPr>
            <w:tcW w:w="1481" w:type="dxa"/>
            <w:tcBorders>
              <w:bottom w:val="single" w:color="auto" w:sz="4" w:space="0"/>
              <w:right w:val="nil"/>
            </w:tcBorders>
            <w:noWrap w:val="0"/>
            <w:vAlign w:val="center"/>
          </w:tcPr>
          <w:p>
            <w:pPr>
              <w:spacing w:line="280" w:lineRule="exact"/>
              <w:ind w:left="-1" w:leftChars="-25" w:right="-78" w:rightChars="-37" w:hanging="52" w:hangingChars="29"/>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left w:val="nil"/>
              <w:bottom w:val="single" w:color="auto" w:sz="4" w:space="0"/>
              <w:right w:val="single" w:color="auto" w:sz="2" w:space="0"/>
            </w:tcBorders>
            <w:noWrap w:val="0"/>
            <w:vAlign w:val="center"/>
          </w:tcPr>
          <w:p>
            <w:pPr>
              <w:spacing w:line="280" w:lineRule="exact"/>
              <w:jc w:val="both"/>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其他收益</w:t>
            </w:r>
          </w:p>
        </w:tc>
        <w:tc>
          <w:tcPr>
            <w:tcW w:w="1419" w:type="dxa"/>
            <w:tcBorders>
              <w:left w:val="single" w:color="auto" w:sz="2" w:space="0"/>
              <w:bottom w:val="single" w:color="auto" w:sz="4" w:space="0"/>
            </w:tcBorders>
            <w:noWrap w:val="0"/>
            <w:vAlign w:val="center"/>
          </w:tcPr>
          <w:p>
            <w:pPr>
              <w:spacing w:line="280" w:lineRule="exact"/>
              <w:ind w:right="-65" w:rightChars="-31"/>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千元</w:t>
            </w:r>
          </w:p>
        </w:tc>
        <w:tc>
          <w:tcPr>
            <w:tcW w:w="1281" w:type="dxa"/>
            <w:tcBorders>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kern w:val="2"/>
                <w:sz w:val="18"/>
                <w:szCs w:val="24"/>
                <w:highlight w:val="none"/>
                <w:lang w:val="en-US" w:eastAsia="zh-CN" w:bidi="ar-SA"/>
              </w:rPr>
            </w:pPr>
            <w:r>
              <w:rPr>
                <w:rFonts w:cs="Calibri"/>
                <w:bCs/>
                <w:color w:val="auto"/>
                <w:sz w:val="18"/>
                <w:szCs w:val="24"/>
                <w:highlight w:val="none"/>
              </w:rPr>
              <w:t>QC232</w:t>
            </w:r>
          </w:p>
        </w:tc>
        <w:tc>
          <w:tcPr>
            <w:tcW w:w="1481" w:type="dxa"/>
            <w:tcBorders>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kern w:val="2"/>
                <w:sz w:val="18"/>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left w:val="nil"/>
              <w:bottom w:val="single" w:color="auto" w:sz="4" w:space="0"/>
              <w:right w:val="single" w:color="auto" w:sz="2" w:space="0"/>
            </w:tcBorders>
            <w:noWrap w:val="0"/>
            <w:vAlign w:val="center"/>
          </w:tcPr>
          <w:p>
            <w:pPr>
              <w:spacing w:line="280" w:lineRule="exact"/>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营业利润</w:t>
            </w:r>
          </w:p>
        </w:tc>
        <w:tc>
          <w:tcPr>
            <w:tcW w:w="1419" w:type="dxa"/>
            <w:tcBorders>
              <w:left w:val="single" w:color="auto" w:sz="2" w:space="0"/>
              <w:bottom w:val="single" w:color="auto" w:sz="4" w:space="0"/>
            </w:tcBorders>
            <w:noWrap w:val="0"/>
            <w:vAlign w:val="center"/>
          </w:tcPr>
          <w:p>
            <w:pPr>
              <w:spacing w:line="280" w:lineRule="exact"/>
              <w:ind w:right="-65" w:rightChars="-31"/>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千元</w:t>
            </w:r>
          </w:p>
        </w:tc>
        <w:tc>
          <w:tcPr>
            <w:tcW w:w="1281" w:type="dxa"/>
            <w:tcBorders>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kern w:val="2"/>
                <w:sz w:val="18"/>
                <w:szCs w:val="24"/>
                <w:highlight w:val="none"/>
                <w:lang w:val="en-US" w:eastAsia="zh-CN" w:bidi="ar-SA"/>
              </w:rPr>
            </w:pPr>
            <w:r>
              <w:rPr>
                <w:rFonts w:cs="Calibri"/>
                <w:bCs/>
                <w:color w:val="auto"/>
                <w:sz w:val="18"/>
                <w:szCs w:val="24"/>
                <w:highlight w:val="none"/>
              </w:rPr>
              <w:t>QC120</w:t>
            </w:r>
          </w:p>
        </w:tc>
        <w:tc>
          <w:tcPr>
            <w:tcW w:w="1481" w:type="dxa"/>
            <w:tcBorders>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kern w:val="2"/>
                <w:sz w:val="18"/>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left w:val="nil"/>
              <w:bottom w:val="single" w:color="auto" w:sz="4" w:space="0"/>
              <w:right w:val="single" w:color="auto" w:sz="2" w:space="0"/>
            </w:tcBorders>
            <w:noWrap w:val="0"/>
            <w:vAlign w:val="center"/>
          </w:tcPr>
          <w:p>
            <w:pPr>
              <w:spacing w:line="280" w:lineRule="exact"/>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营业外收入</w:t>
            </w:r>
          </w:p>
        </w:tc>
        <w:tc>
          <w:tcPr>
            <w:tcW w:w="1419" w:type="dxa"/>
            <w:tcBorders>
              <w:left w:val="single" w:color="auto" w:sz="2" w:space="0"/>
              <w:bottom w:val="single" w:color="auto" w:sz="4" w:space="0"/>
            </w:tcBorders>
            <w:noWrap w:val="0"/>
            <w:vAlign w:val="center"/>
          </w:tcPr>
          <w:p>
            <w:pPr>
              <w:spacing w:line="280" w:lineRule="exact"/>
              <w:ind w:right="-48" w:rightChars="-23"/>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千元</w:t>
            </w:r>
          </w:p>
        </w:tc>
        <w:tc>
          <w:tcPr>
            <w:tcW w:w="1281" w:type="dxa"/>
            <w:tcBorders>
              <w:bottom w:val="single" w:color="auto" w:sz="4" w:space="0"/>
              <w:right w:val="nil"/>
            </w:tcBorders>
            <w:noWrap w:val="0"/>
            <w:vAlign w:val="center"/>
          </w:tcPr>
          <w:p>
            <w:pPr>
              <w:spacing w:line="280" w:lineRule="exact"/>
              <w:ind w:right="-78" w:rightChars="-37"/>
              <w:jc w:val="center"/>
              <w:rPr>
                <w:rFonts w:cs="Calibri"/>
                <w:bCs/>
                <w:color w:val="auto"/>
                <w:kern w:val="2"/>
                <w:sz w:val="18"/>
                <w:szCs w:val="24"/>
                <w:highlight w:val="none"/>
                <w:lang w:val="en-US" w:eastAsia="zh-CN" w:bidi="ar-SA"/>
              </w:rPr>
            </w:pPr>
            <w:r>
              <w:rPr>
                <w:rFonts w:cs="Calibri"/>
                <w:bCs/>
                <w:color w:val="auto"/>
                <w:sz w:val="18"/>
                <w:szCs w:val="24"/>
                <w:highlight w:val="none"/>
              </w:rPr>
              <w:t>QC227</w:t>
            </w:r>
          </w:p>
        </w:tc>
        <w:tc>
          <w:tcPr>
            <w:tcW w:w="1481" w:type="dxa"/>
            <w:tcBorders>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kern w:val="2"/>
                <w:sz w:val="18"/>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left w:val="nil"/>
              <w:bottom w:val="single" w:color="auto" w:sz="4" w:space="0"/>
              <w:right w:val="single" w:color="auto" w:sz="2" w:space="0"/>
            </w:tcBorders>
            <w:noWrap w:val="0"/>
            <w:vAlign w:val="center"/>
          </w:tcPr>
          <w:p>
            <w:pPr>
              <w:spacing w:line="280" w:lineRule="exact"/>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营业外支出</w:t>
            </w:r>
          </w:p>
        </w:tc>
        <w:tc>
          <w:tcPr>
            <w:tcW w:w="1419" w:type="dxa"/>
            <w:tcBorders>
              <w:left w:val="single" w:color="auto" w:sz="2" w:space="0"/>
              <w:bottom w:val="single" w:color="auto" w:sz="4" w:space="0"/>
            </w:tcBorders>
            <w:noWrap w:val="0"/>
            <w:vAlign w:val="center"/>
          </w:tcPr>
          <w:p>
            <w:pPr>
              <w:spacing w:line="280" w:lineRule="exact"/>
              <w:ind w:right="-65" w:rightChars="-31"/>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千元</w:t>
            </w:r>
          </w:p>
        </w:tc>
        <w:tc>
          <w:tcPr>
            <w:tcW w:w="1281" w:type="dxa"/>
            <w:tcBorders>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kern w:val="2"/>
                <w:sz w:val="18"/>
                <w:szCs w:val="24"/>
                <w:highlight w:val="none"/>
                <w:lang w:val="en-US" w:eastAsia="zh-CN" w:bidi="ar-SA"/>
              </w:rPr>
            </w:pPr>
            <w:r>
              <w:rPr>
                <w:rFonts w:cs="Calibri"/>
                <w:bCs/>
                <w:color w:val="auto"/>
                <w:sz w:val="18"/>
                <w:szCs w:val="24"/>
                <w:highlight w:val="none"/>
              </w:rPr>
              <w:t>QC230</w:t>
            </w:r>
          </w:p>
        </w:tc>
        <w:tc>
          <w:tcPr>
            <w:tcW w:w="1481" w:type="dxa"/>
            <w:tcBorders>
              <w:bottom w:val="single" w:color="auto" w:sz="4" w:space="0"/>
              <w:right w:val="nil"/>
            </w:tcBorders>
            <w:noWrap w:val="0"/>
            <w:vAlign w:val="top"/>
          </w:tcPr>
          <w:p>
            <w:pPr>
              <w:spacing w:line="280" w:lineRule="exact"/>
              <w:ind w:left="-1" w:leftChars="-25" w:right="-78" w:rightChars="-37" w:hanging="52" w:hangingChars="29"/>
              <w:jc w:val="center"/>
              <w:rPr>
                <w:rFonts w:ascii="Times New Roman" w:hAnsi="Times New Roman"/>
                <w:bCs/>
                <w:color w:val="auto"/>
                <w:kern w:val="2"/>
                <w:sz w:val="18"/>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left w:val="nil"/>
              <w:bottom w:val="single" w:color="auto" w:sz="4" w:space="0"/>
              <w:right w:val="single" w:color="auto" w:sz="2" w:space="0"/>
            </w:tcBorders>
            <w:noWrap w:val="0"/>
            <w:vAlign w:val="center"/>
          </w:tcPr>
          <w:p>
            <w:pPr>
              <w:spacing w:line="280" w:lineRule="exact"/>
              <w:jc w:val="both"/>
              <w:rPr>
                <w:bCs/>
                <w:color w:val="auto"/>
                <w:kern w:val="2"/>
                <w:sz w:val="18"/>
                <w:szCs w:val="24"/>
                <w:highlight w:val="none"/>
                <w:lang w:val="en-US" w:eastAsia="zh-CN" w:bidi="ar-SA"/>
              </w:rPr>
            </w:pPr>
            <w:r>
              <w:rPr>
                <w:bCs/>
                <w:color w:val="auto"/>
                <w:sz w:val="18"/>
                <w:szCs w:val="18"/>
                <w:highlight w:val="none"/>
              </w:rPr>
              <w:t>利润总额</w:t>
            </w:r>
          </w:p>
        </w:tc>
        <w:tc>
          <w:tcPr>
            <w:tcW w:w="1419" w:type="dxa"/>
            <w:tcBorders>
              <w:left w:val="single" w:color="auto" w:sz="2" w:space="0"/>
              <w:bottom w:val="single" w:color="auto" w:sz="4" w:space="0"/>
            </w:tcBorders>
            <w:noWrap w:val="0"/>
            <w:vAlign w:val="center"/>
          </w:tcPr>
          <w:p>
            <w:pPr>
              <w:spacing w:line="280" w:lineRule="exact"/>
              <w:jc w:val="center"/>
              <w:rPr>
                <w:bCs/>
                <w:color w:val="auto"/>
                <w:kern w:val="2"/>
                <w:sz w:val="18"/>
                <w:szCs w:val="24"/>
                <w:highlight w:val="none"/>
                <w:lang w:val="en-US" w:eastAsia="zh-CN" w:bidi="ar-SA"/>
              </w:rPr>
            </w:pPr>
            <w:r>
              <w:rPr>
                <w:bCs/>
                <w:color w:val="auto"/>
                <w:sz w:val="18"/>
                <w:szCs w:val="24"/>
                <w:highlight w:val="none"/>
              </w:rPr>
              <w:t>千元</w:t>
            </w:r>
          </w:p>
        </w:tc>
        <w:tc>
          <w:tcPr>
            <w:tcW w:w="1281" w:type="dxa"/>
            <w:tcBorders>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kern w:val="2"/>
                <w:sz w:val="18"/>
                <w:szCs w:val="24"/>
                <w:highlight w:val="none"/>
                <w:lang w:val="en-US" w:eastAsia="zh-CN" w:bidi="ar-SA"/>
              </w:rPr>
            </w:pPr>
            <w:r>
              <w:rPr>
                <w:rFonts w:cs="Calibri"/>
                <w:bCs/>
                <w:color w:val="auto"/>
                <w:sz w:val="18"/>
                <w:szCs w:val="24"/>
                <w:highlight w:val="none"/>
              </w:rPr>
              <w:t>QC234</w:t>
            </w:r>
          </w:p>
        </w:tc>
        <w:tc>
          <w:tcPr>
            <w:tcW w:w="1481" w:type="dxa"/>
            <w:tcBorders>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kern w:val="2"/>
                <w:sz w:val="18"/>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left w:val="nil"/>
              <w:bottom w:val="single" w:color="auto" w:sz="4" w:space="0"/>
              <w:right w:val="single" w:color="auto" w:sz="2" w:space="0"/>
            </w:tcBorders>
            <w:noWrap w:val="0"/>
            <w:vAlign w:val="center"/>
          </w:tcPr>
          <w:p>
            <w:pPr>
              <w:spacing w:line="280" w:lineRule="exact"/>
              <w:jc w:val="both"/>
              <w:rPr>
                <w:bCs/>
                <w:color w:val="auto"/>
                <w:sz w:val="18"/>
                <w:szCs w:val="24"/>
                <w:highlight w:val="none"/>
              </w:rPr>
            </w:pPr>
            <w:r>
              <w:rPr>
                <w:bCs/>
                <w:color w:val="auto"/>
                <w:sz w:val="18"/>
                <w:szCs w:val="24"/>
                <w:highlight w:val="none"/>
              </w:rPr>
              <w:t>净利润</w:t>
            </w:r>
          </w:p>
        </w:tc>
        <w:tc>
          <w:tcPr>
            <w:tcW w:w="1419" w:type="dxa"/>
            <w:tcBorders>
              <w:left w:val="single" w:color="auto" w:sz="2" w:space="0"/>
              <w:bottom w:val="single" w:color="auto" w:sz="4"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QC12</w:t>
            </w:r>
          </w:p>
        </w:tc>
        <w:tc>
          <w:tcPr>
            <w:tcW w:w="1481" w:type="dxa"/>
            <w:tcBorders>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left w:val="nil"/>
              <w:bottom w:val="single" w:color="auto" w:sz="4" w:space="0"/>
              <w:right w:val="single" w:color="auto" w:sz="2" w:space="0"/>
            </w:tcBorders>
            <w:noWrap w:val="0"/>
            <w:vAlign w:val="center"/>
          </w:tcPr>
          <w:p>
            <w:pPr>
              <w:spacing w:line="280" w:lineRule="exact"/>
              <w:jc w:val="both"/>
              <w:rPr>
                <w:bCs/>
                <w:color w:val="auto"/>
                <w:sz w:val="18"/>
                <w:szCs w:val="24"/>
                <w:highlight w:val="none"/>
              </w:rPr>
            </w:pPr>
            <w:r>
              <w:rPr>
                <w:bCs/>
                <w:color w:val="auto"/>
                <w:sz w:val="18"/>
                <w:szCs w:val="24"/>
                <w:highlight w:val="none"/>
              </w:rPr>
              <w:t>所得税费用</w:t>
            </w:r>
          </w:p>
        </w:tc>
        <w:tc>
          <w:tcPr>
            <w:tcW w:w="1419" w:type="dxa"/>
            <w:tcBorders>
              <w:left w:val="single" w:color="auto" w:sz="2" w:space="0"/>
              <w:bottom w:val="single" w:color="auto" w:sz="4"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QC231</w:t>
            </w:r>
          </w:p>
        </w:tc>
        <w:tc>
          <w:tcPr>
            <w:tcW w:w="1481" w:type="dxa"/>
            <w:tcBorders>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rPr>
                <w:rFonts w:cs="Calibri"/>
                <w:bCs/>
                <w:color w:val="auto"/>
                <w:sz w:val="18"/>
                <w:szCs w:val="24"/>
                <w:highlight w:val="none"/>
              </w:rPr>
            </w:pPr>
            <w:r>
              <w:rPr>
                <w:rFonts w:cs="Calibri"/>
                <w:bCs/>
                <w:color w:val="auto"/>
                <w:sz w:val="18"/>
                <w:szCs w:val="24"/>
                <w:highlight w:val="none"/>
              </w:rPr>
              <w:t>实际上缴税费总额</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13≥</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14＋</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16）</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QC13</w:t>
            </w:r>
          </w:p>
        </w:tc>
        <w:tc>
          <w:tcPr>
            <w:tcW w:w="1481"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tabs>
                <w:tab w:val="left" w:pos="462"/>
              </w:tabs>
              <w:spacing w:line="280" w:lineRule="exact"/>
              <w:ind w:firstLine="360"/>
              <w:rPr>
                <w:rFonts w:cs="Calibri"/>
                <w:bCs/>
                <w:color w:val="auto"/>
                <w:sz w:val="18"/>
                <w:szCs w:val="24"/>
                <w:highlight w:val="none"/>
              </w:rPr>
            </w:pPr>
            <w:r>
              <w:rPr>
                <w:rFonts w:cs="Calibri"/>
                <w:bCs/>
                <w:color w:val="auto"/>
                <w:sz w:val="18"/>
                <w:szCs w:val="24"/>
                <w:highlight w:val="none"/>
              </w:rPr>
              <w:t>其中：增值税</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QC14</w:t>
            </w:r>
          </w:p>
        </w:tc>
        <w:tc>
          <w:tcPr>
            <w:tcW w:w="1481"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900" w:firstLineChars="500"/>
              <w:rPr>
                <w:rFonts w:cs="Calibri"/>
                <w:bCs/>
                <w:color w:val="auto"/>
                <w:sz w:val="18"/>
                <w:szCs w:val="24"/>
                <w:highlight w:val="none"/>
              </w:rPr>
            </w:pPr>
            <w:r>
              <w:rPr>
                <w:rFonts w:cs="Calibri"/>
                <w:bCs/>
                <w:color w:val="auto"/>
                <w:sz w:val="18"/>
                <w:szCs w:val="24"/>
                <w:highlight w:val="none"/>
              </w:rPr>
              <w:t>所得税</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QC16</w:t>
            </w:r>
          </w:p>
        </w:tc>
        <w:tc>
          <w:tcPr>
            <w:tcW w:w="1481"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jc w:val="left"/>
              <w:rPr>
                <w:rFonts w:cs="Calibri"/>
                <w:bCs/>
                <w:color w:val="auto"/>
                <w:sz w:val="18"/>
                <w:szCs w:val="24"/>
                <w:highlight w:val="none"/>
              </w:rPr>
            </w:pPr>
            <w:r>
              <w:rPr>
                <w:rFonts w:cs="Calibri"/>
                <w:bCs/>
                <w:color w:val="auto"/>
                <w:sz w:val="18"/>
                <w:szCs w:val="24"/>
                <w:highlight w:val="none"/>
              </w:rPr>
              <w:t>减免税总额</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17≥</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18＋</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20）</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QC17</w:t>
            </w:r>
          </w:p>
        </w:tc>
        <w:tc>
          <w:tcPr>
            <w:tcW w:w="1481"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ind w:firstLine="360"/>
              <w:jc w:val="left"/>
              <w:rPr>
                <w:rFonts w:ascii="Times New Roman" w:hAnsi="Times New Roman" w:eastAsia="宋体" w:cs="Calibri"/>
                <w:bCs/>
                <w:color w:val="auto"/>
                <w:sz w:val="18"/>
                <w:szCs w:val="24"/>
                <w:highlight w:val="none"/>
              </w:rPr>
            </w:pPr>
            <w:r>
              <w:rPr>
                <w:rFonts w:ascii="Times New Roman" w:hAnsi="Times New Roman" w:eastAsia="仿宋" w:cs="Calibri"/>
                <w:bCs/>
                <w:color w:val="auto"/>
                <w:sz w:val="18"/>
                <w:szCs w:val="24"/>
                <w:highlight w:val="none"/>
              </w:rPr>
              <w:t>其中：增值税</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QC18</w:t>
            </w:r>
          </w:p>
        </w:tc>
        <w:tc>
          <w:tcPr>
            <w:tcW w:w="1481"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ind w:firstLine="900" w:firstLineChars="500"/>
              <w:jc w:val="left"/>
              <w:rPr>
                <w:rFonts w:hint="default" w:ascii="Times New Roman" w:hAnsi="Times New Roman" w:eastAsia="宋体" w:cs="Calibri"/>
                <w:bCs/>
                <w:color w:val="auto"/>
                <w:sz w:val="18"/>
                <w:szCs w:val="24"/>
                <w:highlight w:val="none"/>
                <w:lang w:val="en-US" w:eastAsia="zh-CN"/>
              </w:rPr>
            </w:pPr>
            <w:r>
              <w:rPr>
                <w:rFonts w:hint="default" w:ascii="Times New Roman" w:hAnsi="Times New Roman" w:eastAsia="仿宋" w:cs="Calibri"/>
                <w:bCs/>
                <w:color w:val="auto"/>
                <w:sz w:val="18"/>
                <w:szCs w:val="24"/>
                <w:highlight w:val="none"/>
                <w:lang w:val="en-US" w:eastAsia="zh-CN"/>
              </w:rPr>
              <w:t>其中：享受先进制造业增值税加计抵减额</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hint="default" w:eastAsia="宋体" w:cs="Calibri"/>
                <w:bCs/>
                <w:color w:val="auto"/>
                <w:sz w:val="18"/>
                <w:szCs w:val="24"/>
                <w:highlight w:val="none"/>
                <w:lang w:val="en-US" w:eastAsia="zh-CN"/>
              </w:rPr>
            </w:pPr>
            <w:r>
              <w:rPr>
                <w:rFonts w:hint="eastAsia" w:cs="Calibri"/>
                <w:bCs/>
                <w:color w:val="auto"/>
                <w:sz w:val="18"/>
                <w:szCs w:val="24"/>
                <w:highlight w:val="none"/>
                <w:lang w:val="en-US" w:eastAsia="zh-CN"/>
              </w:rPr>
              <w:t>QC18_1</w:t>
            </w:r>
          </w:p>
        </w:tc>
        <w:tc>
          <w:tcPr>
            <w:tcW w:w="1481"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360" w:firstLineChars="200"/>
              <w:jc w:val="left"/>
              <w:rPr>
                <w:rFonts w:cs="Calibri"/>
                <w:bCs/>
                <w:color w:val="auto"/>
                <w:sz w:val="18"/>
                <w:szCs w:val="24"/>
                <w:highlight w:val="none"/>
              </w:rPr>
            </w:pPr>
            <w:r>
              <w:rPr>
                <w:rFonts w:cs="Calibri"/>
                <w:bCs/>
                <w:color w:val="auto"/>
                <w:sz w:val="18"/>
                <w:szCs w:val="24"/>
                <w:highlight w:val="none"/>
              </w:rPr>
              <w:t>其中：所得税</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20≥</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20_1+</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20_2+</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20_3）</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QC20</w:t>
            </w:r>
          </w:p>
        </w:tc>
        <w:tc>
          <w:tcPr>
            <w:tcW w:w="1481"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900" w:firstLineChars="500"/>
              <w:jc w:val="left"/>
              <w:rPr>
                <w:rFonts w:cs="Calibri"/>
                <w:bCs/>
                <w:color w:val="auto"/>
                <w:sz w:val="18"/>
                <w:szCs w:val="24"/>
                <w:highlight w:val="none"/>
              </w:rPr>
            </w:pPr>
            <w:r>
              <w:rPr>
                <w:rFonts w:cs="Calibri"/>
                <w:bCs/>
                <w:color w:val="auto"/>
                <w:sz w:val="18"/>
                <w:szCs w:val="24"/>
                <w:highlight w:val="none"/>
              </w:rPr>
              <w:t>其中：享受高新技术企业所得税减免</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QC20_1</w:t>
            </w:r>
          </w:p>
        </w:tc>
        <w:tc>
          <w:tcPr>
            <w:tcW w:w="1481"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1440" w:firstLineChars="800"/>
              <w:jc w:val="left"/>
              <w:rPr>
                <w:rFonts w:cs="Calibri"/>
                <w:bCs/>
                <w:color w:val="auto"/>
                <w:sz w:val="18"/>
                <w:szCs w:val="24"/>
                <w:highlight w:val="none"/>
              </w:rPr>
            </w:pPr>
            <w:r>
              <w:rPr>
                <w:rFonts w:hint="eastAsia" w:cs="Calibri"/>
                <w:bCs/>
                <w:color w:val="auto"/>
                <w:sz w:val="18"/>
                <w:szCs w:val="24"/>
                <w:highlight w:val="none"/>
                <w:lang w:eastAsia="zh-CN"/>
              </w:rPr>
              <w:t>享受</w:t>
            </w:r>
            <w:r>
              <w:rPr>
                <w:rFonts w:hint="eastAsia" w:cs="Calibri"/>
                <w:bCs/>
                <w:color w:val="auto"/>
                <w:sz w:val="18"/>
                <w:szCs w:val="24"/>
                <w:highlight w:val="none"/>
              </w:rPr>
              <w:t>研发加计扣除所得税减免</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QC20_2</w:t>
            </w:r>
          </w:p>
        </w:tc>
        <w:tc>
          <w:tcPr>
            <w:tcW w:w="1481" w:type="dxa"/>
            <w:tcBorders>
              <w:top w:val="single" w:color="auto" w:sz="4" w:space="0"/>
              <w:left w:val="single" w:color="auto" w:sz="4" w:space="0"/>
              <w:bottom w:val="single" w:color="auto" w:sz="4" w:space="0"/>
              <w:right w:val="nil"/>
            </w:tcBorders>
            <w:noWrap w:val="0"/>
            <w:vAlign w:val="top"/>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1440" w:firstLineChars="800"/>
              <w:jc w:val="left"/>
              <w:rPr>
                <w:rFonts w:cs="Calibri"/>
                <w:bCs/>
                <w:color w:val="auto"/>
                <w:sz w:val="18"/>
                <w:szCs w:val="24"/>
                <w:highlight w:val="none"/>
              </w:rPr>
            </w:pPr>
            <w:r>
              <w:rPr>
                <w:rFonts w:hint="eastAsia" w:cs="Calibri"/>
                <w:bCs/>
                <w:color w:val="auto"/>
                <w:sz w:val="18"/>
                <w:szCs w:val="24"/>
                <w:highlight w:val="none"/>
                <w:lang w:eastAsia="zh-CN"/>
              </w:rPr>
              <w:t>享受</w:t>
            </w:r>
            <w:r>
              <w:rPr>
                <w:rFonts w:cs="Calibri"/>
                <w:bCs/>
                <w:color w:val="auto"/>
                <w:sz w:val="18"/>
                <w:szCs w:val="24"/>
                <w:highlight w:val="none"/>
              </w:rPr>
              <w:t>技术转让所得税减免</w:t>
            </w:r>
          </w:p>
        </w:tc>
        <w:tc>
          <w:tcPr>
            <w:tcW w:w="1419" w:type="dxa"/>
            <w:tcBorders>
              <w:top w:val="single" w:color="auto" w:sz="4" w:space="0"/>
              <w:left w:val="single" w:color="auto" w:sz="2" w:space="0"/>
              <w:bottom w:val="single" w:color="auto" w:sz="4" w:space="0"/>
              <w:right w:val="single" w:color="auto" w:sz="2" w:space="0"/>
            </w:tcBorders>
            <w:noWrap w:val="0"/>
            <w:vAlign w:val="top"/>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QC20_3</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rPr>
                <w:rFonts w:cs="Calibri"/>
                <w:bCs/>
                <w:color w:val="auto"/>
                <w:sz w:val="18"/>
                <w:szCs w:val="24"/>
                <w:highlight w:val="none"/>
              </w:rPr>
            </w:pPr>
            <w:r>
              <w:rPr>
                <w:rFonts w:cs="Calibri"/>
                <w:bCs/>
                <w:color w:val="auto"/>
                <w:sz w:val="18"/>
                <w:szCs w:val="24"/>
                <w:highlight w:val="none"/>
              </w:rPr>
              <w:t>应交增值税</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QC62</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rPr>
                <w:rFonts w:cs="Calibri"/>
                <w:bCs/>
                <w:color w:val="auto"/>
                <w:sz w:val="18"/>
                <w:szCs w:val="24"/>
                <w:highlight w:val="none"/>
              </w:rPr>
            </w:pPr>
            <w:r>
              <w:rPr>
                <w:rFonts w:cs="Calibri"/>
                <w:bCs/>
                <w:color w:val="auto"/>
                <w:sz w:val="18"/>
                <w:szCs w:val="24"/>
                <w:highlight w:val="none"/>
              </w:rPr>
              <w:t>本年应付职工薪酬（本年贷方累计发生额）</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QC51</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rPr>
                <w:rFonts w:cs="Calibri"/>
                <w:bCs/>
                <w:color w:val="auto"/>
                <w:sz w:val="18"/>
                <w:szCs w:val="24"/>
                <w:highlight w:val="none"/>
              </w:rPr>
            </w:pPr>
            <w:r>
              <w:rPr>
                <w:rFonts w:cs="Calibri"/>
                <w:bCs/>
                <w:color w:val="auto"/>
                <w:sz w:val="18"/>
                <w:szCs w:val="24"/>
                <w:highlight w:val="none"/>
              </w:rPr>
              <w:t>资产总计</w:t>
            </w:r>
            <w:r>
              <w:rPr>
                <w:rFonts w:hint="eastAsia" w:ascii="Times New Roman" w:hAnsi="Times New Roman" w:eastAsia="宋体" w:cs="Times New Roman"/>
                <w:bCs/>
                <w:color w:val="auto"/>
                <w:sz w:val="18"/>
                <w:szCs w:val="18"/>
                <w:highlight w:val="none"/>
                <w:lang w:eastAsia="zh-CN"/>
              </w:rPr>
              <w:t>（</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24=</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25+</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27_1</w:t>
            </w:r>
            <w:r>
              <w:rPr>
                <w:rFonts w:hint="eastAsia" w:ascii="Times New Roman" w:hAnsi="Times New Roman" w:eastAsia="宋体" w:cs="Times New Roman"/>
                <w:bCs/>
                <w:color w:val="auto"/>
                <w:sz w:val="18"/>
                <w:szCs w:val="18"/>
                <w:highlight w:val="none"/>
                <w:lang w:eastAsia="zh-CN"/>
              </w:rPr>
              <w:t>）</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QC24</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360"/>
              <w:rPr>
                <w:rFonts w:cs="Calibri"/>
                <w:bCs/>
                <w:color w:val="auto"/>
                <w:sz w:val="18"/>
                <w:szCs w:val="24"/>
                <w:highlight w:val="none"/>
              </w:rPr>
            </w:pPr>
            <w:r>
              <w:rPr>
                <w:rFonts w:cs="Calibri"/>
                <w:bCs/>
                <w:color w:val="auto"/>
                <w:sz w:val="18"/>
                <w:szCs w:val="24"/>
                <w:highlight w:val="none"/>
              </w:rPr>
              <w:t>其中：流动资产合计</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QC25</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900" w:firstLineChars="500"/>
              <w:rPr>
                <w:rFonts w:cs="Calibri"/>
                <w:bCs/>
                <w:color w:val="auto"/>
                <w:sz w:val="18"/>
                <w:szCs w:val="24"/>
                <w:highlight w:val="none"/>
              </w:rPr>
            </w:pPr>
            <w:r>
              <w:rPr>
                <w:rFonts w:cs="Calibri"/>
                <w:bCs/>
                <w:color w:val="auto"/>
                <w:sz w:val="18"/>
                <w:szCs w:val="24"/>
                <w:highlight w:val="none"/>
              </w:rPr>
              <w:t>非流动资产合计</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QC27_1</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900" w:firstLineChars="500"/>
              <w:rPr>
                <w:rFonts w:cs="Calibri"/>
                <w:bCs/>
                <w:color w:val="auto"/>
                <w:sz w:val="18"/>
                <w:szCs w:val="24"/>
                <w:highlight w:val="none"/>
              </w:rPr>
            </w:pPr>
            <w:r>
              <w:rPr>
                <w:rFonts w:cs="Calibri"/>
                <w:bCs/>
                <w:color w:val="auto"/>
                <w:sz w:val="18"/>
                <w:szCs w:val="24"/>
                <w:highlight w:val="none"/>
              </w:rPr>
              <w:t>其中：开发支出</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QC238</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900" w:firstLineChars="500"/>
              <w:rPr>
                <w:rFonts w:cs="Calibri"/>
                <w:bCs/>
                <w:color w:val="auto"/>
                <w:sz w:val="18"/>
                <w:szCs w:val="24"/>
                <w:highlight w:val="none"/>
              </w:rPr>
            </w:pPr>
            <w:r>
              <w:rPr>
                <w:rFonts w:cs="Calibri"/>
                <w:bCs/>
                <w:color w:val="auto"/>
                <w:sz w:val="18"/>
                <w:szCs w:val="24"/>
                <w:highlight w:val="none"/>
              </w:rPr>
              <w:t>其中：固定资产净值</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QC29</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1440" w:firstLineChars="800"/>
              <w:rPr>
                <w:bCs/>
                <w:color w:val="auto"/>
                <w:sz w:val="18"/>
                <w:szCs w:val="24"/>
                <w:highlight w:val="none"/>
              </w:rPr>
            </w:pPr>
            <w:r>
              <w:rPr>
                <w:bCs/>
                <w:color w:val="auto"/>
                <w:sz w:val="18"/>
                <w:szCs w:val="24"/>
                <w:highlight w:val="none"/>
              </w:rPr>
              <w:t>无形资产</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QC30</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360" w:firstLineChars="200"/>
              <w:rPr>
                <w:bCs/>
                <w:color w:val="auto"/>
                <w:sz w:val="18"/>
                <w:szCs w:val="24"/>
                <w:highlight w:val="none"/>
              </w:rPr>
            </w:pPr>
            <w:r>
              <w:rPr>
                <w:bCs/>
                <w:color w:val="auto"/>
                <w:sz w:val="18"/>
                <w:szCs w:val="24"/>
                <w:highlight w:val="none"/>
              </w:rPr>
              <w:t>其中：累计折旧</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QC65</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900" w:firstLineChars="500"/>
              <w:rPr>
                <w:bCs/>
                <w:color w:val="auto"/>
                <w:sz w:val="18"/>
                <w:szCs w:val="24"/>
                <w:highlight w:val="none"/>
              </w:rPr>
            </w:pPr>
            <w:r>
              <w:rPr>
                <w:bCs/>
                <w:color w:val="auto"/>
                <w:sz w:val="18"/>
                <w:szCs w:val="24"/>
                <w:highlight w:val="none"/>
              </w:rPr>
              <w:t>其中：本年折旧</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QC61</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rPr>
                <w:bCs/>
                <w:color w:val="auto"/>
                <w:sz w:val="18"/>
                <w:szCs w:val="24"/>
                <w:highlight w:val="none"/>
              </w:rPr>
            </w:pPr>
            <w:r>
              <w:rPr>
                <w:bCs/>
                <w:color w:val="auto"/>
                <w:sz w:val="18"/>
                <w:szCs w:val="24"/>
                <w:highlight w:val="none"/>
              </w:rPr>
              <w:t>流动负债合计</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QC237</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rPr>
                <w:bCs/>
                <w:color w:val="auto"/>
                <w:sz w:val="18"/>
                <w:szCs w:val="24"/>
                <w:highlight w:val="none"/>
              </w:rPr>
            </w:pPr>
            <w:r>
              <w:rPr>
                <w:bCs/>
                <w:color w:val="auto"/>
                <w:sz w:val="18"/>
                <w:szCs w:val="24"/>
                <w:highlight w:val="none"/>
              </w:rPr>
              <w:t>年末负债合计</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QC31</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4" w:space="0"/>
            </w:tcBorders>
            <w:noWrap w:val="0"/>
            <w:vAlign w:val="center"/>
          </w:tcPr>
          <w:p>
            <w:pPr>
              <w:spacing w:line="280" w:lineRule="exact"/>
              <w:ind w:firstLine="360" w:firstLineChars="200"/>
              <w:rPr>
                <w:bCs/>
                <w:color w:val="auto"/>
                <w:sz w:val="18"/>
                <w:szCs w:val="24"/>
                <w:highlight w:val="none"/>
              </w:rPr>
            </w:pPr>
            <w:r>
              <w:rPr>
                <w:bCs/>
                <w:color w:val="auto"/>
                <w:sz w:val="18"/>
                <w:szCs w:val="24"/>
                <w:highlight w:val="none"/>
              </w:rPr>
              <w:t>其中：存量银行贷款额</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QC32</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4" w:space="0"/>
            </w:tcBorders>
            <w:noWrap w:val="0"/>
            <w:vAlign w:val="center"/>
          </w:tcPr>
          <w:p>
            <w:pPr>
              <w:spacing w:line="280" w:lineRule="exact"/>
              <w:rPr>
                <w:bCs/>
                <w:color w:val="auto"/>
                <w:sz w:val="18"/>
                <w:szCs w:val="24"/>
                <w:highlight w:val="none"/>
              </w:rPr>
            </w:pPr>
            <w:r>
              <w:rPr>
                <w:bCs/>
                <w:color w:val="auto"/>
                <w:sz w:val="18"/>
                <w:szCs w:val="18"/>
                <w:highlight w:val="none"/>
              </w:rPr>
              <w:t>年末所有者权益（股东权益）</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33＝</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24－</w:t>
            </w:r>
            <w:r>
              <w:rPr>
                <w:rFonts w:cs="Calibri"/>
                <w:bCs/>
                <w:color w:val="auto"/>
                <w:sz w:val="18"/>
                <w:szCs w:val="24"/>
                <w:highlight w:val="none"/>
              </w:rPr>
              <w:t>QC</w:t>
            </w:r>
            <w:r>
              <w:rPr>
                <w:rFonts w:hint="eastAsia" w:ascii="Times New Roman" w:hAnsi="Times New Roman" w:eastAsia="宋体" w:cs="Times New Roman"/>
                <w:bCs/>
                <w:color w:val="auto"/>
                <w:sz w:val="18"/>
                <w:szCs w:val="18"/>
                <w:highlight w:val="none"/>
              </w:rPr>
              <w:t>31）</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QC33</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8" w:space="0"/>
              <w:right w:val="single" w:color="auto" w:sz="4" w:space="0"/>
            </w:tcBorders>
            <w:noWrap w:val="0"/>
            <w:vAlign w:val="center"/>
          </w:tcPr>
          <w:p>
            <w:pPr>
              <w:spacing w:line="280" w:lineRule="exact"/>
              <w:ind w:firstLine="360" w:firstLineChars="200"/>
              <w:rPr>
                <w:bCs/>
                <w:color w:val="auto"/>
                <w:sz w:val="18"/>
                <w:szCs w:val="24"/>
                <w:highlight w:val="none"/>
              </w:rPr>
            </w:pPr>
            <w:r>
              <w:rPr>
                <w:bCs/>
                <w:color w:val="auto"/>
                <w:sz w:val="18"/>
                <w:szCs w:val="18"/>
                <w:highlight w:val="none"/>
              </w:rPr>
              <w:t>其中：实收资本</w:t>
            </w:r>
            <w:r>
              <w:rPr>
                <w:rFonts w:hint="eastAsia"/>
                <w:bCs/>
                <w:color w:val="auto"/>
                <w:spacing w:val="-8"/>
                <w:sz w:val="18"/>
                <w:szCs w:val="18"/>
                <w:highlight w:val="none"/>
                <w:lang w:eastAsia="zh-CN"/>
              </w:rPr>
              <w:t>（</w:t>
            </w:r>
            <w:r>
              <w:rPr>
                <w:bCs/>
                <w:color w:val="auto"/>
                <w:spacing w:val="-8"/>
                <w:sz w:val="18"/>
                <w:szCs w:val="18"/>
                <w:highlight w:val="none"/>
              </w:rPr>
              <w:t>股本</w:t>
            </w:r>
            <w:r>
              <w:rPr>
                <w:rFonts w:hint="eastAsia"/>
                <w:bCs/>
                <w:color w:val="auto"/>
                <w:spacing w:val="-8"/>
                <w:sz w:val="18"/>
                <w:szCs w:val="18"/>
                <w:highlight w:val="none"/>
                <w:lang w:eastAsia="zh-CN"/>
              </w:rPr>
              <w:t>）</w:t>
            </w:r>
          </w:p>
        </w:tc>
        <w:tc>
          <w:tcPr>
            <w:tcW w:w="1419" w:type="dxa"/>
            <w:tcBorders>
              <w:top w:val="single" w:color="auto" w:sz="4" w:space="0"/>
              <w:left w:val="single" w:color="auto" w:sz="4" w:space="0"/>
              <w:bottom w:val="single" w:color="auto" w:sz="8" w:space="0"/>
              <w:right w:val="single" w:color="auto" w:sz="4"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4" w:space="0"/>
              <w:bottom w:val="single" w:color="auto" w:sz="8"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QC34</w:t>
            </w:r>
          </w:p>
        </w:tc>
        <w:tc>
          <w:tcPr>
            <w:tcW w:w="1481" w:type="dxa"/>
            <w:tcBorders>
              <w:top w:val="single" w:color="auto" w:sz="4" w:space="0"/>
              <w:left w:val="single" w:color="auto" w:sz="4" w:space="0"/>
              <w:bottom w:val="single" w:color="auto" w:sz="8"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bl>
    <w:p>
      <w:pPr>
        <w:rPr>
          <w:color w:val="auto"/>
          <w:highlight w:val="none"/>
        </w:rPr>
      </w:pPr>
    </w:p>
    <w:p>
      <w:pPr>
        <w:rPr>
          <w:rFonts w:hint="eastAsia" w:eastAsia="宋体"/>
          <w:color w:val="auto"/>
          <w:sz w:val="18"/>
          <w:szCs w:val="20"/>
          <w:highlight w:val="none"/>
          <w:lang w:eastAsia="zh-CN"/>
        </w:rPr>
      </w:pPr>
      <w:r>
        <w:rPr>
          <w:rFonts w:hint="eastAsia"/>
          <w:color w:val="auto"/>
          <w:sz w:val="18"/>
          <w:szCs w:val="20"/>
          <w:highlight w:val="none"/>
          <w:lang w:eastAsia="zh-CN"/>
        </w:rPr>
        <w:t>续表二：</w:t>
      </w:r>
    </w:p>
    <w:tbl>
      <w:tblPr>
        <w:tblStyle w:val="9"/>
        <w:tblW w:w="9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0"/>
        <w:gridCol w:w="1419"/>
        <w:gridCol w:w="1281"/>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8" w:space="0"/>
              <w:left w:val="nil"/>
              <w:bottom w:val="single" w:color="auto" w:sz="4" w:space="0"/>
              <w:right w:val="single" w:color="auto" w:sz="4" w:space="0"/>
            </w:tcBorders>
            <w:noWrap w:val="0"/>
            <w:vAlign w:val="center"/>
          </w:tcPr>
          <w:p>
            <w:pPr>
              <w:spacing w:line="280" w:lineRule="exact"/>
              <w:ind w:firstLine="0" w:firstLineChars="0"/>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指标名称</w:t>
            </w:r>
          </w:p>
        </w:tc>
        <w:tc>
          <w:tcPr>
            <w:tcW w:w="1419" w:type="dxa"/>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计量单位</w:t>
            </w:r>
          </w:p>
        </w:tc>
        <w:tc>
          <w:tcPr>
            <w:tcW w:w="1281" w:type="dxa"/>
            <w:tcBorders>
              <w:top w:val="single" w:color="auto" w:sz="8" w:space="0"/>
              <w:left w:val="single" w:color="auto" w:sz="4"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代码</w:t>
            </w:r>
          </w:p>
        </w:tc>
        <w:tc>
          <w:tcPr>
            <w:tcW w:w="1481" w:type="dxa"/>
            <w:tcBorders>
              <w:top w:val="single" w:color="auto" w:sz="8"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4" w:space="0"/>
            </w:tcBorders>
            <w:noWrap w:val="0"/>
            <w:vAlign w:val="center"/>
          </w:tcPr>
          <w:p>
            <w:pPr>
              <w:spacing w:line="280" w:lineRule="exact"/>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甲</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乙</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丙</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ascii="Times New Roman" w:hAnsi="Times New Roman"/>
                <w:bCs/>
                <w:color w:val="auto"/>
                <w:kern w:val="2"/>
                <w:sz w:val="18"/>
                <w:szCs w:val="24"/>
                <w:highlight w:val="none"/>
                <w:lang w:val="en-US" w:eastAsia="zh-CN" w:bidi="ar-SA"/>
              </w:rPr>
            </w:pPr>
            <w:r>
              <w:rPr>
                <w:rFonts w:ascii="Times New Roman" w:hAnsi="Times New Roman"/>
                <w:bCs/>
                <w:color w:val="auto"/>
                <w:sz w:val="18"/>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900" w:firstLineChars="500"/>
              <w:rPr>
                <w:bCs/>
                <w:color w:val="auto"/>
                <w:kern w:val="2"/>
                <w:sz w:val="18"/>
                <w:szCs w:val="24"/>
                <w:highlight w:val="none"/>
                <w:lang w:val="en-US" w:eastAsia="zh-CN" w:bidi="ar-SA"/>
              </w:rPr>
            </w:pPr>
            <w:r>
              <w:rPr>
                <w:bCs/>
                <w:color w:val="auto"/>
                <w:sz w:val="18"/>
                <w:szCs w:val="24"/>
                <w:highlight w:val="none"/>
              </w:rPr>
              <w:t>其中：企业上市融资股本</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kern w:val="2"/>
                <w:sz w:val="18"/>
                <w:szCs w:val="24"/>
                <w:highlight w:val="none"/>
                <w:lang w:val="en-US" w:eastAsia="zh-CN" w:bidi="ar-SA"/>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kern w:val="2"/>
                <w:sz w:val="18"/>
                <w:szCs w:val="24"/>
                <w:highlight w:val="none"/>
                <w:lang w:val="en-US" w:eastAsia="zh-CN" w:bidi="ar-SA"/>
              </w:rPr>
            </w:pPr>
            <w:r>
              <w:rPr>
                <w:rFonts w:cs="Calibri"/>
                <w:bCs/>
                <w:color w:val="auto"/>
                <w:sz w:val="18"/>
                <w:szCs w:val="24"/>
                <w:highlight w:val="none"/>
              </w:rPr>
              <w:t>QC63</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kern w:val="2"/>
                <w:sz w:val="18"/>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ind w:firstLine="1440" w:firstLineChars="800"/>
              <w:rPr>
                <w:bCs/>
                <w:color w:val="auto"/>
                <w:sz w:val="18"/>
                <w:szCs w:val="24"/>
                <w:highlight w:val="none"/>
              </w:rPr>
            </w:pPr>
            <w:r>
              <w:rPr>
                <w:bCs/>
                <w:color w:val="auto"/>
                <w:sz w:val="18"/>
                <w:szCs w:val="24"/>
                <w:highlight w:val="none"/>
              </w:rPr>
              <w:t>其中：企业境外上市融资股本</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QC50</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rPr>
                <w:bCs/>
                <w:color w:val="auto"/>
                <w:sz w:val="18"/>
                <w:szCs w:val="24"/>
                <w:highlight w:val="none"/>
              </w:rPr>
            </w:pPr>
            <w:r>
              <w:rPr>
                <w:bCs/>
                <w:color w:val="auto"/>
                <w:sz w:val="18"/>
                <w:szCs w:val="24"/>
                <w:highlight w:val="none"/>
              </w:rPr>
              <w:t>对境外直接投资额</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QC39</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rPr>
                <w:bCs/>
                <w:color w:val="auto"/>
                <w:sz w:val="18"/>
                <w:szCs w:val="24"/>
                <w:highlight w:val="none"/>
              </w:rPr>
            </w:pPr>
            <w:r>
              <w:rPr>
                <w:bCs/>
                <w:color w:val="auto"/>
                <w:sz w:val="18"/>
                <w:szCs w:val="24"/>
                <w:highlight w:val="none"/>
              </w:rPr>
              <w:t>本年固定资产投资额</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千元</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QC40</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90" w:type="dxa"/>
            <w:tcBorders>
              <w:top w:val="single" w:color="auto" w:sz="4" w:space="0"/>
              <w:left w:val="nil"/>
              <w:bottom w:val="single" w:color="auto" w:sz="4" w:space="0"/>
              <w:right w:val="single" w:color="auto" w:sz="2" w:space="0"/>
            </w:tcBorders>
            <w:noWrap w:val="0"/>
            <w:vAlign w:val="center"/>
          </w:tcPr>
          <w:p>
            <w:pPr>
              <w:spacing w:line="280" w:lineRule="exact"/>
              <w:rPr>
                <w:bCs/>
                <w:color w:val="auto"/>
                <w:sz w:val="18"/>
                <w:szCs w:val="24"/>
                <w:highlight w:val="none"/>
              </w:rPr>
            </w:pPr>
            <w:r>
              <w:rPr>
                <w:bCs/>
                <w:color w:val="auto"/>
                <w:sz w:val="18"/>
                <w:szCs w:val="24"/>
                <w:highlight w:val="none"/>
              </w:rPr>
              <w:t>规模以上工业企业及重点耗能企业综合能源消费量</w:t>
            </w:r>
          </w:p>
        </w:tc>
        <w:tc>
          <w:tcPr>
            <w:tcW w:w="1419" w:type="dxa"/>
            <w:tcBorders>
              <w:top w:val="single" w:color="auto" w:sz="4" w:space="0"/>
              <w:left w:val="single" w:color="auto" w:sz="2" w:space="0"/>
              <w:bottom w:val="single" w:color="auto" w:sz="4" w:space="0"/>
              <w:right w:val="single" w:color="auto" w:sz="2" w:space="0"/>
            </w:tcBorders>
            <w:noWrap w:val="0"/>
            <w:vAlign w:val="center"/>
          </w:tcPr>
          <w:p>
            <w:pPr>
              <w:spacing w:line="280" w:lineRule="exact"/>
              <w:jc w:val="center"/>
              <w:rPr>
                <w:bCs/>
                <w:color w:val="auto"/>
                <w:sz w:val="18"/>
                <w:szCs w:val="24"/>
                <w:highlight w:val="none"/>
              </w:rPr>
            </w:pPr>
            <w:r>
              <w:rPr>
                <w:bCs/>
                <w:color w:val="auto"/>
                <w:sz w:val="18"/>
                <w:szCs w:val="24"/>
                <w:highlight w:val="none"/>
              </w:rPr>
              <w:t>吨标准煤</w:t>
            </w:r>
          </w:p>
        </w:tc>
        <w:tc>
          <w:tcPr>
            <w:tcW w:w="1281" w:type="dxa"/>
            <w:tcBorders>
              <w:top w:val="single" w:color="auto" w:sz="4" w:space="0"/>
              <w:left w:val="single" w:color="auto" w:sz="2" w:space="0"/>
              <w:bottom w:val="single" w:color="auto" w:sz="4" w:space="0"/>
              <w:right w:val="single" w:color="auto" w:sz="4" w:space="0"/>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r>
              <w:rPr>
                <w:rFonts w:cs="Calibri"/>
                <w:bCs/>
                <w:color w:val="auto"/>
                <w:sz w:val="18"/>
                <w:szCs w:val="24"/>
                <w:highlight w:val="none"/>
              </w:rPr>
              <w:t>QC41</w:t>
            </w:r>
          </w:p>
        </w:tc>
        <w:tc>
          <w:tcPr>
            <w:tcW w:w="1481" w:type="dxa"/>
            <w:tcBorders>
              <w:top w:val="single" w:color="auto" w:sz="4" w:space="0"/>
              <w:left w:val="single" w:color="auto" w:sz="4" w:space="0"/>
              <w:bottom w:val="single" w:color="auto" w:sz="4" w:space="0"/>
              <w:right w:val="nil"/>
            </w:tcBorders>
            <w:noWrap w:val="0"/>
            <w:vAlign w:val="center"/>
          </w:tcPr>
          <w:p>
            <w:pPr>
              <w:spacing w:line="280" w:lineRule="exact"/>
              <w:ind w:left="-1" w:leftChars="-25" w:right="-78" w:rightChars="-37" w:hanging="52" w:hangingChars="29"/>
              <w:jc w:val="center"/>
              <w:rPr>
                <w:rFonts w:cs="Calibri"/>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exact"/>
          <w:jc w:val="center"/>
        </w:trPr>
        <w:tc>
          <w:tcPr>
            <w:tcW w:w="9471" w:type="dxa"/>
            <w:gridSpan w:val="4"/>
            <w:tcBorders>
              <w:top w:val="single" w:color="auto" w:sz="4" w:space="0"/>
              <w:left w:val="nil"/>
              <w:bottom w:val="single" w:color="auto" w:sz="8" w:space="0"/>
              <w:right w:val="nil"/>
            </w:tcBorders>
            <w:noWrap w:val="0"/>
            <w:vAlign w:val="center"/>
          </w:tcPr>
          <w:p>
            <w:pPr>
              <w:snapToGrid/>
              <w:spacing w:line="280" w:lineRule="exact"/>
              <w:jc w:val="left"/>
              <w:rPr>
                <w:rFonts w:ascii="Times New Roman" w:hAnsi="Times New Roman"/>
                <w:bCs/>
                <w:color w:val="auto"/>
                <w:sz w:val="18"/>
                <w:szCs w:val="24"/>
                <w:highlight w:val="none"/>
              </w:rPr>
            </w:pPr>
            <w:r>
              <w:rPr>
                <w:rFonts w:ascii="Times New Roman" w:hAnsi="Times New Roman"/>
                <w:bCs/>
                <w:color w:val="auto"/>
                <w:sz w:val="18"/>
                <w:szCs w:val="24"/>
                <w:highlight w:val="none"/>
              </w:rPr>
              <w:t>补充资料：</w:t>
            </w:r>
          </w:p>
          <w:p>
            <w:pPr>
              <w:snapToGrid/>
              <w:spacing w:line="280" w:lineRule="exact"/>
              <w:ind w:firstLine="180" w:firstLineChars="100"/>
              <w:jc w:val="left"/>
              <w:rPr>
                <w:bCs/>
                <w:color w:val="auto"/>
                <w:sz w:val="18"/>
                <w:szCs w:val="24"/>
                <w:highlight w:val="none"/>
              </w:rPr>
            </w:pPr>
            <w:r>
              <w:rPr>
                <w:rFonts w:hint="eastAsia"/>
                <w:bCs/>
                <w:color w:val="auto"/>
                <w:sz w:val="18"/>
                <w:szCs w:val="24"/>
                <w:highlight w:val="none"/>
              </w:rPr>
              <w:t>企业当年是否获得风险投资（QC226_1）</w:t>
            </w:r>
            <w:r>
              <w:rPr>
                <w:rFonts w:ascii="宋体" w:hAnsi="宋体" w:cs="宋体"/>
                <w:bCs/>
                <w:color w:val="auto"/>
                <w:sz w:val="18"/>
                <w:szCs w:val="18"/>
                <w:highlight w:val="none"/>
              </w:rPr>
              <w:t>□  1.是  2.否</w:t>
            </w:r>
          </w:p>
          <w:p>
            <w:pPr>
              <w:snapToGrid/>
              <w:spacing w:line="280" w:lineRule="exact"/>
              <w:ind w:firstLine="180" w:firstLineChars="100"/>
              <w:jc w:val="left"/>
              <w:rPr>
                <w:bCs/>
                <w:color w:val="auto"/>
                <w:sz w:val="18"/>
                <w:szCs w:val="24"/>
                <w:highlight w:val="none"/>
              </w:rPr>
            </w:pPr>
            <w:r>
              <w:rPr>
                <w:rFonts w:hint="eastAsia"/>
                <w:bCs/>
                <w:color w:val="auto"/>
                <w:sz w:val="18"/>
                <w:szCs w:val="24"/>
                <w:highlight w:val="none"/>
              </w:rPr>
              <w:t>若是，请注明企业获得的风险投资的阶段是</w:t>
            </w:r>
            <w:r>
              <w:rPr>
                <w:bCs/>
                <w:color w:val="auto"/>
                <w:sz w:val="18"/>
                <w:szCs w:val="24"/>
                <w:highlight w:val="none"/>
              </w:rPr>
              <w:t xml:space="preserve"> </w:t>
            </w:r>
            <w:r>
              <w:rPr>
                <w:rFonts w:hint="eastAsia"/>
                <w:bCs/>
                <w:color w:val="auto"/>
                <w:sz w:val="18"/>
                <w:szCs w:val="24"/>
                <w:highlight w:val="none"/>
              </w:rPr>
              <w:t>（</w:t>
            </w:r>
            <w:r>
              <w:rPr>
                <w:bCs/>
                <w:color w:val="auto"/>
                <w:sz w:val="18"/>
                <w:szCs w:val="24"/>
                <w:highlight w:val="none"/>
              </w:rPr>
              <w:t>QC226_2</w:t>
            </w:r>
            <w:r>
              <w:rPr>
                <w:rFonts w:hint="eastAsia"/>
                <w:bCs/>
                <w:color w:val="auto"/>
                <w:sz w:val="18"/>
                <w:szCs w:val="24"/>
                <w:highlight w:val="none"/>
              </w:rPr>
              <w:t>）</w:t>
            </w:r>
            <w:r>
              <w:rPr>
                <w:bCs/>
                <w:color w:val="auto"/>
                <w:sz w:val="18"/>
                <w:szCs w:val="24"/>
                <w:highlight w:val="none"/>
              </w:rPr>
              <w:t xml:space="preserve"> </w:t>
            </w:r>
            <w:r>
              <w:rPr>
                <w:rFonts w:hint="eastAsia"/>
                <w:bCs/>
                <w:color w:val="auto"/>
                <w:sz w:val="18"/>
                <w:szCs w:val="24"/>
                <w:highlight w:val="none"/>
              </w:rPr>
              <w:t>□1.天使轮2.A轮3.B轮4.C轮5.D轮及以上</w:t>
            </w:r>
          </w:p>
          <w:p>
            <w:pPr>
              <w:snapToGrid/>
              <w:spacing w:line="280" w:lineRule="exact"/>
              <w:ind w:firstLine="180" w:firstLineChars="100"/>
              <w:jc w:val="left"/>
              <w:rPr>
                <w:bCs/>
                <w:color w:val="auto"/>
                <w:sz w:val="18"/>
                <w:szCs w:val="24"/>
                <w:highlight w:val="none"/>
              </w:rPr>
            </w:pPr>
            <w:r>
              <w:rPr>
                <w:rFonts w:hint="eastAsia"/>
                <w:bCs/>
                <w:color w:val="auto"/>
                <w:sz w:val="18"/>
                <w:szCs w:val="24"/>
                <w:highlight w:val="none"/>
              </w:rPr>
              <w:t>当年获得创业风险投资机构的风险投资额为（QC226）千元</w:t>
            </w:r>
          </w:p>
          <w:p>
            <w:pPr>
              <w:spacing w:line="280" w:lineRule="exact"/>
              <w:ind w:left="-1" w:leftChars="-25" w:right="-78" w:rightChars="-37" w:hanging="52" w:hangingChars="29"/>
              <w:jc w:val="both"/>
              <w:rPr>
                <w:rFonts w:ascii="Times New Roman" w:hAnsi="Times New Roman"/>
                <w:bCs/>
                <w:color w:val="auto"/>
                <w:sz w:val="18"/>
                <w:szCs w:val="24"/>
                <w:highlight w:val="none"/>
              </w:rPr>
            </w:pPr>
          </w:p>
        </w:tc>
      </w:tr>
    </w:tbl>
    <w:p>
      <w:pPr>
        <w:snapToGrid w:val="0"/>
        <w:spacing w:line="280" w:lineRule="exact"/>
        <w:ind w:firstLine="0" w:firstLineChars="0"/>
        <w:jc w:val="left"/>
        <w:rPr>
          <w:rFonts w:ascii="Times New Roman" w:hAnsi="Times New Roman"/>
          <w:bCs/>
          <w:color w:val="auto"/>
          <w:sz w:val="18"/>
          <w:szCs w:val="24"/>
          <w:highlight w:val="none"/>
        </w:rPr>
      </w:pPr>
      <w:r>
        <w:rPr>
          <w:rFonts w:hint="eastAsia"/>
          <w:bCs/>
          <w:color w:val="auto"/>
          <w:sz w:val="18"/>
          <w:highlight w:val="none"/>
        </w:rPr>
        <w:t>单位负责人: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统计负责人: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填表人: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 xml:space="preserve"> 联系电话:</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报出日期:20</w:t>
      </w:r>
      <w:r>
        <w:rPr>
          <w:rFonts w:hint="eastAsia"/>
          <w:bCs/>
          <w:color w:val="auto"/>
          <w:sz w:val="18"/>
          <w:highlight w:val="none"/>
          <w:u w:val="single"/>
        </w:rPr>
        <w:t xml:space="preserve">  </w:t>
      </w:r>
      <w:r>
        <w:rPr>
          <w:rFonts w:hint="eastAsia"/>
          <w:bCs/>
          <w:color w:val="auto"/>
          <w:sz w:val="18"/>
          <w:highlight w:val="none"/>
        </w:rPr>
        <w:t>年</w:t>
      </w:r>
      <w:r>
        <w:rPr>
          <w:rFonts w:hint="eastAsia"/>
          <w:bCs/>
          <w:color w:val="auto"/>
          <w:sz w:val="18"/>
          <w:highlight w:val="none"/>
          <w:u w:val="single"/>
        </w:rPr>
        <w:t xml:space="preserve">  </w:t>
      </w:r>
      <w:r>
        <w:rPr>
          <w:rFonts w:hint="eastAsia"/>
          <w:bCs/>
          <w:color w:val="auto"/>
          <w:sz w:val="18"/>
          <w:highlight w:val="none"/>
        </w:rPr>
        <w:t>月</w:t>
      </w:r>
      <w:r>
        <w:rPr>
          <w:rFonts w:hint="eastAsia"/>
          <w:bCs/>
          <w:color w:val="auto"/>
          <w:sz w:val="18"/>
          <w:highlight w:val="none"/>
          <w:u w:val="single"/>
        </w:rPr>
        <w:t xml:space="preserve">  </w:t>
      </w:r>
      <w:r>
        <w:rPr>
          <w:rFonts w:hint="eastAsia"/>
          <w:bCs/>
          <w:color w:val="auto"/>
          <w:sz w:val="18"/>
          <w:highlight w:val="none"/>
        </w:rPr>
        <w:t>日</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说明：</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1.工业总产值指标由工业企业填报，部分行业代码为非工业的企业，若企业本身存在混业经营且涉足工业领域，产生工业总产值的也需填报。</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2.规模以上工业企业及重点耗能企业综合能源消费量指标，仅由规上工业企业、以及年综合能源消费量1万吨标准煤及以上的重点耗能单位填报。填报时可根据规上工业企业及重点能耗企业填报的国家统计局能源报表抄报。</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3.审核关系：</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（1）QC05_0=QC06+QC07+QC10+QC49</w:t>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lang w:val="en-US" w:eastAsia="zh-CN"/>
        </w:rPr>
        <w:t xml:space="preserve">          </w:t>
      </w:r>
      <w:r>
        <w:rPr>
          <w:rFonts w:hint="eastAsia" w:ascii="Times New Roman" w:hAnsi="Times New Roman"/>
          <w:bCs/>
          <w:color w:val="auto"/>
          <w:szCs w:val="21"/>
          <w:highlight w:val="none"/>
        </w:rPr>
        <w:t>（2）QC55≤QC05_0</w:t>
      </w:r>
      <w:r>
        <w:rPr>
          <w:rFonts w:hint="eastAsia" w:ascii="Times New Roman" w:hAnsi="Times New Roman"/>
          <w:bCs/>
          <w:color w:val="auto"/>
          <w:szCs w:val="21"/>
          <w:highlight w:val="none"/>
        </w:rPr>
        <w:tab/>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（3）QC06≥QC06_1+QC06_2+QC06_3+QC06_4</w:t>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（4）QC09≤QC07</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（5）QC52≥QC11</w:t>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（6）QC05_0≥QC11</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（7）QC11≥QC38</w:t>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（8）QC11≥QC11_1</w:t>
      </w:r>
      <w:r>
        <w:rPr>
          <w:rFonts w:hint="eastAsia" w:ascii="Times New Roman" w:hAnsi="Times New Roman"/>
          <w:bCs/>
          <w:color w:val="auto"/>
          <w:szCs w:val="21"/>
          <w:highlight w:val="none"/>
        </w:rPr>
        <w:tab/>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（9）QC13≥QC14＋QC16</w:t>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（10）QC17≥QC18＋QC20</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（11）QC20≥QC20_1+QC20_2+QC20_3</w:t>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（12）QC24=QC25＋QC27_1</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（13）QC27_1≥QC30</w:t>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（14）QC33＝QC24－QC31</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（15）QC65≥QC61</w:t>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ab/>
      </w:r>
      <w:r>
        <w:rPr>
          <w:rFonts w:hint="eastAsia" w:ascii="Times New Roman" w:hAnsi="Times New Roman"/>
          <w:bCs/>
          <w:color w:val="auto"/>
          <w:szCs w:val="21"/>
          <w:highlight w:val="none"/>
        </w:rPr>
        <w:t>（16）QC63≥QC50</w:t>
      </w:r>
    </w:p>
    <w:p>
      <w:pPr>
        <w:spacing w:line="400" w:lineRule="exact"/>
        <w:ind w:firstLine="420"/>
        <w:rPr>
          <w:rFonts w:hint="eastAsia" w:ascii="Times New Roman" w:hAnsi="Times New Roman"/>
          <w:bCs/>
          <w:color w:val="auto"/>
          <w:szCs w:val="21"/>
          <w:highlight w:val="none"/>
        </w:rPr>
      </w:pPr>
      <w:r>
        <w:rPr>
          <w:rFonts w:hint="eastAsia" w:ascii="Times New Roman" w:hAnsi="Times New Roman"/>
          <w:bCs/>
          <w:color w:val="auto"/>
          <w:szCs w:val="21"/>
          <w:highlight w:val="none"/>
        </w:rPr>
        <w:t>（17）若QC226_1=1，则QC226_2的有效代码为1、2、3、4或5，且QC226应＞0</w:t>
      </w:r>
    </w:p>
    <w:p>
      <w:pPr>
        <w:rPr>
          <w:rFonts w:ascii="Times New Roman" w:hAnsi="Times New Roman"/>
          <w:bCs/>
          <w:color w:val="auto"/>
          <w:highlight w:val="none"/>
        </w:rPr>
      </w:pPr>
    </w:p>
    <w:p>
      <w:pPr>
        <w:tabs>
          <w:tab w:val="left" w:pos="753"/>
        </w:tabs>
        <w:spacing w:line="400" w:lineRule="exact"/>
        <w:jc w:val="center"/>
        <w:rPr>
          <w:rFonts w:ascii="Times New Roman" w:hAnsi="Times New Roman"/>
          <w:b/>
          <w:color w:val="auto"/>
          <w:sz w:val="32"/>
          <w:szCs w:val="32"/>
          <w:highlight w:val="none"/>
        </w:rPr>
      </w:pPr>
      <w:r>
        <w:rPr>
          <w:rFonts w:ascii="Times New Roman" w:hAnsi="Times New Roman"/>
          <w:color w:val="auto"/>
          <w:sz w:val="28"/>
          <w:szCs w:val="28"/>
          <w:highlight w:val="none"/>
        </w:rPr>
        <w:br w:type="page"/>
      </w:r>
      <w:r>
        <w:rPr>
          <w:rFonts w:hint="eastAsia" w:ascii="黑体" w:hAnsi="黑体" w:eastAsia="黑体" w:cs="黑体"/>
          <w:b w:val="0"/>
          <w:bCs/>
          <w:color w:val="auto"/>
          <w:kern w:val="0"/>
          <w:sz w:val="32"/>
          <w:szCs w:val="32"/>
          <w:highlight w:val="none"/>
        </w:rPr>
        <w:t>指标解释</w:t>
      </w:r>
    </w:p>
    <w:p>
      <w:pPr>
        <w:pStyle w:val="2"/>
        <w:rPr>
          <w:rFonts w:ascii="Times New Roman" w:hAnsi="Times New Roman"/>
          <w:color w:val="auto"/>
          <w:highlight w:val="none"/>
        </w:rPr>
      </w:pP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工业总产值（当年价格）</w:t>
      </w:r>
      <w:r>
        <w:rPr>
          <w:rFonts w:ascii="Times New Roman" w:hAnsi="Times New Roman"/>
          <w:bCs/>
          <w:color w:val="auto"/>
          <w:szCs w:val="24"/>
          <w:highlight w:val="none"/>
        </w:rPr>
        <w:t>指工业企业在报告期内生产的以货币形式表现的工业最终产品和提供工业劳务活动的总价值量。指标由工业企业填报，部分行业代码为非工业的企业，若企业本身存在混业经营且涉足工业领域，产生工业总产值的企业也需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（1）工业总产值核算应遵循的原则</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宋体" w:hAnsi="宋体" w:cs="宋体"/>
          <w:bCs/>
          <w:color w:val="auto"/>
          <w:szCs w:val="24"/>
          <w:highlight w:val="none"/>
        </w:rPr>
        <w:t>①</w:t>
      </w:r>
      <w:r>
        <w:rPr>
          <w:rFonts w:ascii="Times New Roman" w:hAnsi="Times New Roman"/>
          <w:bCs/>
          <w:color w:val="auto"/>
          <w:szCs w:val="24"/>
          <w:highlight w:val="none"/>
        </w:rPr>
        <w:t>工业生产的原则。即凡是企业在报告期内生产的最终产品和提供的劳务，均应包括在内。其中的最终产品，不管是否在报告期内销售，只要是报告期内生产的，就应包括在内。凡不是工业生产的产品，均不得计入工业总产值。</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宋体" w:hAnsi="宋体" w:cs="宋体"/>
          <w:bCs/>
          <w:color w:val="auto"/>
          <w:szCs w:val="24"/>
          <w:highlight w:val="none"/>
        </w:rPr>
        <w:t>②</w:t>
      </w:r>
      <w:r>
        <w:rPr>
          <w:rFonts w:ascii="Times New Roman" w:hAnsi="Times New Roman"/>
          <w:bCs/>
          <w:color w:val="auto"/>
          <w:szCs w:val="24"/>
          <w:highlight w:val="none"/>
        </w:rPr>
        <w:t>最终产品的原则。即企业生产的成品价值必须是本企业生产的，经检验合格不需再进行任何加工的最终产品。企业对外销售的半成品也应视为最终产品计入工业总产值。而在本企业内各车间转移的半成品和在制品只能核算其期末期初差额价值。</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宋体" w:hAnsi="宋体" w:cs="宋体"/>
          <w:bCs/>
          <w:color w:val="auto"/>
          <w:szCs w:val="24"/>
          <w:highlight w:val="none"/>
        </w:rPr>
        <w:t>③</w:t>
      </w:r>
      <w:r>
        <w:rPr>
          <w:rFonts w:ascii="Times New Roman" w:hAnsi="Times New Roman"/>
          <w:bCs/>
          <w:color w:val="auto"/>
          <w:szCs w:val="24"/>
          <w:highlight w:val="none"/>
        </w:rPr>
        <w:t>“工厂法”原则。即以法人工业企业作为一个整体核算工业总产值，是其报告期内生产的最终产品和提供劳务的总价值量。</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（2）工业总产值的内容</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包括三部分：生产的成品价值、对外加工费收入、自制半成品在制品期末期初差额价值。</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宋体" w:hAnsi="宋体" w:cs="宋体"/>
          <w:bCs/>
          <w:color w:val="auto"/>
          <w:szCs w:val="24"/>
          <w:highlight w:val="none"/>
        </w:rPr>
        <w:t>①</w:t>
      </w:r>
      <w:r>
        <w:rPr>
          <w:rFonts w:ascii="Times New Roman" w:hAnsi="Times New Roman"/>
          <w:bCs/>
          <w:color w:val="auto"/>
          <w:szCs w:val="24"/>
          <w:highlight w:val="none"/>
        </w:rPr>
        <w:t>成品价值：指企业在报告期内生产，并在报告期内不再进行加工，经检验合格、包装入库的已经销售和准备销售的全部工业成品（包括半成品）价值合计。成品价值中包括企业生产的自制设备及提供给本企业在建工程、其他非工业部门和生活福利部门等单位使用的成品价值，但不包括用订货者来料加工的成品（半成品）价值。</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工业总产值是按现行价格核算的。成品价值按成品实物量乘以报告期不含应交增值税（销项税额）的产品实际销售平均单价核算。会计核算中按成本价格转账的自制设备和自产自用的成品，按成本价格核算生产成品价值。</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宋体" w:hAnsi="宋体" w:cs="宋体"/>
          <w:bCs/>
          <w:color w:val="auto"/>
          <w:szCs w:val="24"/>
          <w:highlight w:val="none"/>
        </w:rPr>
        <w:t>②</w:t>
      </w:r>
      <w:r>
        <w:rPr>
          <w:rFonts w:ascii="Times New Roman" w:hAnsi="Times New Roman"/>
          <w:bCs/>
          <w:color w:val="auto"/>
          <w:szCs w:val="24"/>
          <w:highlight w:val="none"/>
        </w:rPr>
        <w:t>对外加工费收入：指企业在报告期内完成的对外承做的工业品加工（包括用订货者来料加工生产）的加工费收入和对外工业品修理作业所收取的加工费收入和对内非工业部门提供的加工修理、设备安装等收入。对外加工费收入按不含应交增值税（销项税额）的价格核算。</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对于以对外加工生产为主，对外加工费收入所占比重较大的企业，如果对外加工费收入出现跨报告期支付的情况，为保证总产值生产口径核算的准确性，则应将对外加工费收入按实际情况调整，记录本报告期应实际收取的对外加工费收入。</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宋体" w:hAnsi="宋体" w:cs="宋体"/>
          <w:bCs/>
          <w:color w:val="auto"/>
          <w:szCs w:val="24"/>
          <w:highlight w:val="none"/>
        </w:rPr>
        <w:t>③</w:t>
      </w:r>
      <w:r>
        <w:rPr>
          <w:rFonts w:ascii="Times New Roman" w:hAnsi="Times New Roman"/>
          <w:bCs/>
          <w:color w:val="auto"/>
          <w:szCs w:val="24"/>
          <w:highlight w:val="none"/>
        </w:rPr>
        <w:t>自制半成品在制品期末期初差额价值：为了使工业总产值与工业中间投入中的物耗价值一致，以便同口径地核算工业增加值，规定本指标的核算原则是：凡是企业会计产品成本核算中核算半成品、在制品成本，则工业总产值中必须包括自制半成品在制品期末期初差额价值。反之则不包括。</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自制半成品在制品期末期初差额价值等于自制半成品在制品期末价值减去期初价值后的余额，如果期末价值小于期初价值，该指标为负值，企业在核算产值时，应按负值核算，不能作为零处理。</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（3）工业总产值核算的几种具体规定</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宋体" w:hAnsi="宋体" w:cs="宋体"/>
          <w:bCs/>
          <w:color w:val="auto"/>
          <w:szCs w:val="24"/>
          <w:highlight w:val="none"/>
        </w:rPr>
        <w:t>①</w:t>
      </w:r>
      <w:r>
        <w:rPr>
          <w:rFonts w:ascii="Times New Roman" w:hAnsi="Times New Roman"/>
          <w:bCs/>
          <w:color w:val="auto"/>
          <w:szCs w:val="24"/>
          <w:highlight w:val="none"/>
        </w:rPr>
        <w:t>凡自备原材料（包括自备零部件）生产，不论其加工繁简程度如何，一律按全价，即包括自备原材料的价值，核算工业总产值。</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宋体" w:hAnsi="宋体" w:cs="宋体"/>
          <w:bCs/>
          <w:color w:val="auto"/>
          <w:szCs w:val="24"/>
          <w:highlight w:val="none"/>
        </w:rPr>
        <w:t>②</w:t>
      </w:r>
      <w:r>
        <w:rPr>
          <w:rFonts w:ascii="Times New Roman" w:hAnsi="Times New Roman"/>
          <w:bCs/>
          <w:color w:val="auto"/>
          <w:szCs w:val="24"/>
          <w:highlight w:val="none"/>
        </w:rPr>
        <w:t>凡来料加工，加工企业只收取加工费，则加工企业一律按财务上结算的加工费核算工业总产值，即不包括定货者来料的价值。一般分两种情况：a.工业企业之间的来料加工，加工企业（即承包单位）按财务上结算的加工费核算工业总产值；委托加工的企业（即发包单位）按全价核算工业总产值。b.工业企业与非工业企业之间的来料加工，当工业企业作为加工企业时一律按加工费核算工业总产值。</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宋体" w:hAnsi="宋体" w:cs="宋体"/>
          <w:bCs/>
          <w:color w:val="auto"/>
          <w:szCs w:val="24"/>
          <w:highlight w:val="none"/>
        </w:rPr>
        <w:t>③</w:t>
      </w:r>
      <w:r>
        <w:rPr>
          <w:rFonts w:ascii="Times New Roman" w:hAnsi="Times New Roman"/>
          <w:bCs/>
          <w:color w:val="auto"/>
          <w:szCs w:val="24"/>
          <w:highlight w:val="none"/>
        </w:rPr>
        <w:t>自制半成品、在制品期末期初差额价值，原则上应计入工业总产值，但如果会计产品成本核算中不核算自制半成品、在制品成本，则不计入工业总产值；如果会计产品成本核算中核算自制半成品、在制品成本的，则计入工业总产值。</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区分来料加工与自备原材料生产的依据是加工企业与委托加工企业间的财务结算关系。如果委托企业提供原材料而不与加工企业结算，加工企业收取加工费，产品返回委托企业销售，则这种模式是来料加工；如果委托加工企业提供的原材料与加工企业是结算的，制成品由加工企业返给委托企业也是结算的，则这种模式是自备原材料生产。</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营业收入</w:t>
      </w:r>
      <w:r>
        <w:rPr>
          <w:rFonts w:hint="eastAsia" w:ascii="Times New Roman" w:hAnsi="Times New Roman"/>
          <w:bCs/>
          <w:color w:val="auto"/>
          <w:szCs w:val="24"/>
          <w:highlight w:val="none"/>
        </w:rPr>
        <w:t>指企业从事销售商品、提供劳务和让渡资产使用权等生产经营活动形成的经济利益流入。包括“主营业务收入”和“其他业务收入”。根据会计“利润表”中“营业收入”项目的本年累计数填报。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主营业务收入</w:t>
      </w:r>
      <w:r>
        <w:rPr>
          <w:rFonts w:hint="eastAsia" w:ascii="Times New Roman" w:hAnsi="Times New Roman"/>
          <w:bCs/>
          <w:color w:val="auto"/>
          <w:szCs w:val="24"/>
          <w:highlight w:val="none"/>
        </w:rPr>
        <w:t>指企业经营主要业务所实现的收入。如果会计“利润表”列示“主营业务收入”项目，则根据其本年累计数填报；或者，根据会计“主营业务收入”科目的本年各月贷方余额（结转前）之和填报，如未设置该科目，以“营业收入”代替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技术收入</w:t>
      </w:r>
      <w:r>
        <w:rPr>
          <w:rFonts w:ascii="Times New Roman" w:hAnsi="Times New Roman"/>
          <w:bCs/>
          <w:color w:val="auto"/>
          <w:szCs w:val="24"/>
          <w:highlight w:val="none"/>
        </w:rPr>
        <w:t>指企业全年用于技术转让、技术承包、技术咨询与服务、技术入股、中试产品收入以及接受外单位委托的科研收入等。</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技术转让收入</w:t>
      </w:r>
      <w:r>
        <w:rPr>
          <w:rFonts w:ascii="Times New Roman" w:hAnsi="Times New Roman"/>
          <w:bCs/>
          <w:color w:val="auto"/>
          <w:szCs w:val="24"/>
          <w:highlight w:val="none"/>
        </w:rPr>
        <w:t>指企业科研与开发活动的成果通过技术贸易、技术转让所获得的收入。技术转让包括</w:t>
      </w:r>
      <w:r>
        <w:rPr>
          <w:rFonts w:ascii="Times New Roman" w:hAnsi="Times New Roman"/>
          <w:bCs/>
          <w:color w:val="auto"/>
          <w:szCs w:val="18"/>
          <w:highlight w:val="none"/>
        </w:rPr>
        <w:t>专利权转让、专利申请权转让、技术秘密转让、专利实施许可转让、计算机软件著作权转让、集成电路布图设计专有权转让、植物新品种权转让、生物、医药新品种权转让等。</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技术承包收入</w:t>
      </w:r>
      <w:r>
        <w:rPr>
          <w:rFonts w:ascii="Times New Roman" w:hAnsi="Times New Roman"/>
          <w:bCs/>
          <w:color w:val="auto"/>
          <w:szCs w:val="24"/>
          <w:highlight w:val="none"/>
        </w:rPr>
        <w:t>指技术项目设计承包、技术工程和技术承包所获得的收入。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技术咨询与服务收入</w:t>
      </w:r>
      <w:r>
        <w:rPr>
          <w:rFonts w:ascii="Times New Roman" w:hAnsi="Times New Roman"/>
          <w:bCs/>
          <w:color w:val="auto"/>
          <w:szCs w:val="24"/>
          <w:highlight w:val="none"/>
        </w:rPr>
        <w:t>指企业利用自己的人力、物力和数据系统等为社会和用户提供技术情报、技术资料、就特定项目提供可行性论证、技术预测、专题技术调查、分析评价等进行的技术咨询、以及以技术知识为客户解决特定技术问题，进行测试分析，开展技术中介服务和技术培训服务等各种技术服务所获得的收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接受委托研究开发收入</w:t>
      </w:r>
      <w:r>
        <w:rPr>
          <w:rFonts w:ascii="Times New Roman" w:hAnsi="Times New Roman"/>
          <w:bCs/>
          <w:color w:val="auto"/>
          <w:szCs w:val="24"/>
          <w:highlight w:val="none"/>
        </w:rPr>
        <w:t>指企业承担社会各方面委托，开展新技术、新产品、新工艺等开发研究工作所获得的收入。</w:t>
      </w:r>
    </w:p>
    <w:p>
      <w:pPr>
        <w:adjustRightInd w:val="0"/>
        <w:snapToGrid w:val="0"/>
        <w:spacing w:line="400" w:lineRule="exact"/>
        <w:ind w:firstLine="436" w:firstLineChars="200"/>
        <w:rPr>
          <w:rFonts w:ascii="Times New Roman" w:hAnsi="Times New Roman"/>
          <w:bCs/>
          <w:color w:val="auto"/>
          <w:spacing w:val="4"/>
          <w:szCs w:val="24"/>
          <w:highlight w:val="none"/>
        </w:rPr>
      </w:pPr>
      <w:r>
        <w:rPr>
          <w:rFonts w:ascii="Times New Roman" w:hAnsi="Times New Roman" w:eastAsia="黑体"/>
          <w:bCs/>
          <w:color w:val="auto"/>
          <w:spacing w:val="4"/>
          <w:szCs w:val="21"/>
          <w:highlight w:val="none"/>
        </w:rPr>
        <w:t>产品销售收入</w:t>
      </w:r>
      <w:r>
        <w:rPr>
          <w:rFonts w:ascii="Times New Roman" w:hAnsi="Times New Roman"/>
          <w:bCs/>
          <w:color w:val="auto"/>
          <w:spacing w:val="4"/>
          <w:szCs w:val="24"/>
          <w:highlight w:val="none"/>
        </w:rPr>
        <w:t>指企业报告期内销售本企业生产的全部产成品、自制半成品和提供劳务等所取得的收入。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高新技术产品销售收入</w:t>
      </w:r>
      <w:r>
        <w:rPr>
          <w:rFonts w:ascii="Times New Roman" w:hAnsi="Times New Roman"/>
          <w:bCs/>
          <w:color w:val="auto"/>
          <w:szCs w:val="24"/>
          <w:highlight w:val="none"/>
        </w:rPr>
        <w:t>指企业报告期内生产的符合国家和省高新技术重点范围、技术领域和产品参考目录的全新型产品；或省内首次生产的换代型产品；或国内首次生产的改进型产品；或属创新产品等；具较高的技术含量和较高的附加值的产品所形成的销售收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商品销售收入</w:t>
      </w:r>
      <w:r>
        <w:rPr>
          <w:rFonts w:ascii="Times New Roman" w:hAnsi="Times New Roman"/>
          <w:bCs/>
          <w:color w:val="auto"/>
          <w:szCs w:val="24"/>
          <w:highlight w:val="none"/>
        </w:rPr>
        <w:t>指企业销售以出售为目的而购入的非本企业生产产品的销售收入。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其他营业收入</w:t>
      </w:r>
      <w:r>
        <w:rPr>
          <w:rFonts w:ascii="Times New Roman" w:hAnsi="Times New Roman"/>
          <w:bCs/>
          <w:color w:val="auto"/>
          <w:szCs w:val="24"/>
          <w:highlight w:val="none"/>
        </w:rPr>
        <w:t>指企业经营获取的除技术收入、产品销售收入、商品销售收入之外的其他营业收入。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进出口总额</w:t>
      </w:r>
      <w:r>
        <w:rPr>
          <w:rFonts w:ascii="Times New Roman" w:hAnsi="Times New Roman"/>
          <w:bCs/>
          <w:color w:val="auto"/>
          <w:szCs w:val="24"/>
          <w:highlight w:val="none"/>
        </w:rPr>
        <w:t>指实际进出我国国境的货物、技术和服务交易的总金额。包括对外贸易实际进出口货物，来料加工装配进出口货物，国家间、联合国及国际组织无偿援助物资和赠送品，华侨、港澳台同胞和外籍华人捐赠品，租赁期满归承租人所有的租赁货物，进料加工进出口货物，边境地方贸易及边境地区小额贸易进出口货物（边民互市贸易除外），中外合资企业、中外合作经营企业、外商独资经营企业进出口货物和公用物品，到、离岸价格在规定限额以上的进出口货样和广告品（无商业价值、无使用价值和免费提供出口的除外）、从保税仓库提取在中国境内销售的进口货物，以及其他进出口货物、进出口技术及服务等。该指标可以观察一个国家在对外贸易方面的总规模。我国规定出口货物按离岸价格统计，进口货物按到岸价格统计。</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出口总额</w:t>
      </w:r>
      <w:r>
        <w:rPr>
          <w:rFonts w:ascii="Times New Roman" w:hAnsi="Times New Roman"/>
          <w:bCs/>
          <w:color w:val="auto"/>
          <w:szCs w:val="24"/>
          <w:highlight w:val="none"/>
        </w:rPr>
        <w:t>指企业自营（委托）出口（包括销往香港、澳门、台湾地区）或交给外贸部门出口的产品、商品、出售给境外企业的技术或者为外商提供服务获得收益的总金额。包括外商来样、来料加工、来件装配和补偿贸易等生产的产品价值，以及境外技术合同或者服务实现金额。</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高新技术产品出口</w:t>
      </w:r>
      <w:r>
        <w:rPr>
          <w:rFonts w:ascii="Times New Roman" w:hAnsi="Times New Roman"/>
          <w:bCs/>
          <w:color w:val="auto"/>
          <w:szCs w:val="24"/>
          <w:highlight w:val="none"/>
        </w:rPr>
        <w:t>指企业在报告期内的产品出口创汇属于海关总署《高新技术产品进出口统计目录》中所列的高新技术产品。</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技术服务出口</w:t>
      </w:r>
      <w:r>
        <w:rPr>
          <w:rFonts w:ascii="Times New Roman" w:hAnsi="Times New Roman"/>
          <w:bCs/>
          <w:color w:val="auto"/>
          <w:szCs w:val="24"/>
          <w:highlight w:val="none"/>
        </w:rPr>
        <w:t>指出口总额中的技术和服务的部分，不包括产品或商品的出口部分。</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营业成本</w:t>
      </w:r>
      <w:r>
        <w:rPr>
          <w:rFonts w:hint="eastAsia" w:ascii="Times New Roman" w:hAnsi="Times New Roman"/>
          <w:bCs/>
          <w:color w:val="auto"/>
          <w:szCs w:val="24"/>
          <w:highlight w:val="none"/>
        </w:rPr>
        <w:t>指企业从事销售商品、提供劳务和让渡资产使用权等生产经营活动发生的实际成本。“营业成本”应当与“营业收入”进行配比。包括“主营业务成本”和“其他业务成本”。根据会计“利润表”中“营业成本”项目的本年累计数填报。</w:t>
      </w:r>
    </w:p>
    <w:p>
      <w:pPr>
        <w:adjustRightInd w:val="0"/>
        <w:snapToGrid w:val="0"/>
        <w:spacing w:line="400" w:lineRule="exact"/>
        <w:ind w:firstLine="420" w:firstLineChars="200"/>
        <w:rPr>
          <w:bCs/>
          <w:color w:val="auto"/>
          <w:szCs w:val="24"/>
          <w:highlight w:val="none"/>
        </w:rPr>
      </w:pPr>
      <w:r>
        <w:rPr>
          <w:rFonts w:hint="eastAsia" w:eastAsia="黑体"/>
          <w:bCs/>
          <w:color w:val="auto"/>
          <w:szCs w:val="21"/>
          <w:highlight w:val="none"/>
        </w:rPr>
        <w:t>税金及附加</w:t>
      </w:r>
      <w:r>
        <w:rPr>
          <w:rFonts w:hint="eastAsia"/>
          <w:bCs/>
          <w:color w:val="auto"/>
          <w:szCs w:val="24"/>
          <w:highlight w:val="none"/>
        </w:rPr>
        <w:t>指企业因从事生产经营活动按税法规定应缴纳的消费税、城市维护建设税、资源税、环境保护税、教育费附加、房产税、城镇土地使用税、车船税、印花税等相关税费。根据会计“利润表”中“税金及附加”项目的本年累计数填报。</w:t>
      </w:r>
    </w:p>
    <w:p>
      <w:pPr>
        <w:adjustRightInd w:val="0"/>
        <w:snapToGrid w:val="0"/>
        <w:spacing w:line="400" w:lineRule="exact"/>
        <w:ind w:firstLine="420" w:firstLineChars="200"/>
        <w:rPr>
          <w:bCs/>
          <w:color w:val="auto"/>
          <w:szCs w:val="24"/>
          <w:highlight w:val="none"/>
        </w:rPr>
      </w:pPr>
      <w:r>
        <w:rPr>
          <w:rFonts w:hint="eastAsia" w:eastAsia="黑体"/>
          <w:bCs/>
          <w:color w:val="auto"/>
          <w:szCs w:val="21"/>
          <w:highlight w:val="none"/>
        </w:rPr>
        <w:t>销售费用</w:t>
      </w:r>
      <w:r>
        <w:rPr>
          <w:rFonts w:hint="eastAsia"/>
          <w:bCs/>
          <w:color w:val="auto"/>
          <w:szCs w:val="24"/>
          <w:highlight w:val="none"/>
        </w:rPr>
        <w:t>指企业在销售商品和材料、提供劳务的过程中发生的各种费用，包括保险费、包装费、展览费、广告费、商品维修费、预计产品质量保证损失、运输费、装卸费等以及为销售本企业商品而专设的销售机构（含销售网点、售后服务网点等）的职工薪酬、业务费、折旧费等经营费用。建筑业企业销售费用指企业从事施工生产活动过程中发生的各项费用，包括应由企业负担的运输费、装卸费、包装费、保险费、维修费、展览费、差旅费、广告费和其他经费。房地产企业销售费用指企业在从事主要经营业务过程中所发生的各项销售费用，包括转让、销售、结算和出租开发产品等。执行《企业会计准则》或《小企业会计准则》的企业，根据会计“利润表”中“销售费用”项目的本年累计数填报。执行其他企业会计制度的企业，根据会计“利润表”中“营业费用（或经营费用）”项目的本年累计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管理费用</w:t>
      </w:r>
      <w:r>
        <w:rPr>
          <w:rFonts w:hint="eastAsia" w:ascii="Times New Roman" w:hAnsi="Times New Roman"/>
          <w:bCs/>
          <w:color w:val="auto"/>
          <w:szCs w:val="24"/>
          <w:highlight w:val="none"/>
        </w:rPr>
        <w:t>指企业为组织和管理企业生产经营所发生的费用，包括企业在筹建期间内发生的开办费、董事会和行政管理部门在企业经营管理中发生的，或者应当由企业统一负担的公司经费等。为了与财政部《关于修订印发2019年度一般企业财务报表格式的通知》（财会〔2019〕6号）保持一致，“管理费用”不包含“研发费用”。执行《企业会计准则》的企业,根据会计“利润表”中“管理费用”项目的本年累计数填报。执行《小企业会计准则》的企业,应将会计“利润表”中“管理费用”项目本年累计数减“研究费用”项目本年累计数后填报。执行《企业会计制度》的企业以及未执行财政部《关于修订印发2019年度一般企业财务报表格式的通知》（财会〔2019〕6号）的企业，在会计“利润表”中“管理费用”项目的本年累计数的基础上，根据会计“管理费用”科目下的“研究费用”相关明细科目，将“研发费用”剔除后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研发费用</w:t>
      </w:r>
      <w:r>
        <w:rPr>
          <w:rFonts w:hint="eastAsia" w:ascii="Times New Roman" w:hAnsi="Times New Roman"/>
          <w:bCs/>
          <w:color w:val="auto"/>
          <w:szCs w:val="24"/>
          <w:highlight w:val="none"/>
        </w:rPr>
        <w:t>指企业在新知识、新技术、新产品、新工艺等的研究与开发过程中发生的费用化支出，以及计入“管理费用”会计科目的企业自行开发无形资产的摊销。费用化支出主要包括研发活动的人工费用、直接投入费用、用于研发活动的仪器、设备的折旧费、用于研发活动的软件、专利权、非专利技术的摊销费用、新产品设计费、新工艺规程制定费以及其他研发活动相关费用。执行《企业会计准则》的企业,根据会计“利润表”中“研发费用”项目的本年累计数填报。执行《小企业会计准则》的企业,根据会计“利润表”中“研究费用”项目的本年累计数填报。执行《企业会计制度》的企业以及会计“利润表”未列示“研发费用”或“研究费用”的企业，根据会计“管理费用”科目下“研究费用”明细科目的本期发生额，以及“管理费用”科目下“无形资产摊销”明细科目的本期发生额分析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财务费用</w:t>
      </w:r>
      <w:r>
        <w:rPr>
          <w:rFonts w:hint="eastAsia" w:ascii="Times New Roman" w:hAnsi="Times New Roman"/>
          <w:bCs/>
          <w:color w:val="auto"/>
          <w:szCs w:val="24"/>
          <w:highlight w:val="none"/>
        </w:rPr>
        <w:t>指企业为筹集生产经营所需资金等而发生的筹资费用，包括企业生产经营期间发生的利息支出（减利息收入）、汇兑损失（减汇兑收益）以及相关的手续费等。根据会计“利润表”中“财务费用”项目的本年累计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资产减值损失</w:t>
      </w:r>
      <w:r>
        <w:rPr>
          <w:rFonts w:ascii="Times New Roman" w:hAnsi="Times New Roman" w:eastAsia="黑体"/>
          <w:color w:val="auto"/>
          <w:highlight w:val="none"/>
        </w:rPr>
        <w:t>(损失以</w:t>
      </w:r>
      <w:r>
        <w:rPr>
          <w:rFonts w:hint="eastAsia" w:ascii="黑体" w:hAnsi="黑体" w:eastAsia="黑体"/>
          <w:color w:val="auto"/>
          <w:highlight w:val="none"/>
        </w:rPr>
        <w:t>“-”</w:t>
      </w:r>
      <w:r>
        <w:rPr>
          <w:rFonts w:ascii="Times New Roman" w:hAnsi="Times New Roman" w:eastAsia="黑体"/>
          <w:color w:val="auto"/>
          <w:highlight w:val="none"/>
        </w:rPr>
        <w:t>号记)</w:t>
      </w:r>
      <w:r>
        <w:rPr>
          <w:rFonts w:hint="eastAsia" w:ascii="Times New Roman" w:hAnsi="Times New Roman"/>
          <w:bCs/>
          <w:color w:val="auto"/>
          <w:szCs w:val="24"/>
          <w:highlight w:val="none"/>
        </w:rPr>
        <w:t>指企业计提各项资产减值准备所形成的损失。根据会计“利润表”中“资产减值损失”项目的本年累计数填报。如果会计“利润表”未设置该项目，填0。</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信用减值损失</w:t>
      </w:r>
      <w:r>
        <w:rPr>
          <w:rFonts w:ascii="Times New Roman" w:hAnsi="Times New Roman" w:eastAsia="黑体"/>
          <w:color w:val="auto"/>
          <w:highlight w:val="none"/>
        </w:rPr>
        <w:t>(损失以</w:t>
      </w:r>
      <w:r>
        <w:rPr>
          <w:rFonts w:ascii="黑体" w:hAnsi="黑体" w:eastAsia="黑体"/>
          <w:color w:val="auto"/>
          <w:highlight w:val="none"/>
        </w:rPr>
        <w:t>“-”</w:t>
      </w:r>
      <w:r>
        <w:rPr>
          <w:rFonts w:ascii="Times New Roman" w:hAnsi="Times New Roman" w:eastAsia="黑体"/>
          <w:color w:val="auto"/>
          <w:highlight w:val="none"/>
        </w:rPr>
        <w:t>号记)</w:t>
      </w:r>
      <w:r>
        <w:rPr>
          <w:rFonts w:hint="eastAsia" w:ascii="Times New Roman" w:hAnsi="Times New Roman"/>
          <w:bCs/>
          <w:color w:val="auto"/>
          <w:szCs w:val="24"/>
          <w:highlight w:val="none"/>
        </w:rPr>
        <w:t>指企业计提的各项金融工具减值准备所形成的预期信用损失。根据会计“利润表”中“信用减值损失”项目的本年累计数填报。如果会计“利润表”未设置该项目，填0。</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公允价值变动收益</w:t>
      </w:r>
      <w:r>
        <w:rPr>
          <w:rFonts w:hint="eastAsia" w:ascii="Times New Roman" w:hAnsi="Times New Roman"/>
          <w:bCs/>
          <w:color w:val="auto"/>
          <w:szCs w:val="24"/>
          <w:highlight w:val="none"/>
        </w:rPr>
        <w:t>指企业的交易性金融资产、交易性金融负债，以及采用公允价值模式计量的投资性房地产、衍生工具、套期保值业务等公允价值变动形成的应计入当期损益的利得或损失。根据会计“利润表”中“公允价值变动收益”项目的本年累计数填报，如果会计“利润表”未设置该项目，填0。</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投资收益</w:t>
      </w:r>
      <w:r>
        <w:rPr>
          <w:rFonts w:hint="eastAsia" w:ascii="Times New Roman" w:hAnsi="Times New Roman"/>
          <w:bCs/>
          <w:color w:val="auto"/>
          <w:szCs w:val="24"/>
          <w:highlight w:val="none"/>
        </w:rPr>
        <w:t>指企业确认的投资收益或投资损失，反映企业以各种方式对外投资所取得的收益。根据会计“利润表”中“投资收益”项目的本年累计数填报。如为投资损失以“-”号记。</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净敞口套期收益</w:t>
      </w:r>
      <w:r>
        <w:rPr>
          <w:rFonts w:hint="eastAsia" w:ascii="Times New Roman" w:hAnsi="Times New Roman"/>
          <w:bCs/>
          <w:color w:val="auto"/>
          <w:highlight w:val="none"/>
        </w:rPr>
        <w:t>指净敞口套期下被套期项目累计公允价值变动转入当期损益的金额或现金流量套期储备转入当期损益的金额。根据会计“利润表”中“净敞口套期收益”项目的本年累计数填报。如果会计“利润表”未设置该项目，填0。</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资产处置收益</w:t>
      </w:r>
      <w:r>
        <w:rPr>
          <w:rFonts w:hint="eastAsia" w:ascii="Times New Roman" w:hAnsi="Times New Roman"/>
          <w:bCs/>
          <w:color w:val="auto"/>
          <w:szCs w:val="24"/>
          <w:highlight w:val="none"/>
        </w:rPr>
        <w:t>指企业出售划分为持有待售的非流动资产（金融工具、长期股权投资和投资性房地产除外）或处置组时确认的处置利得或损失，以及处置未划分为持有待售的固定资产、在建工程、生产性生物资产及无形资产而产生的处置利得或损失。债务重组中因处置非流动资产产生的利得或损失和非货币性资产交换产生的利得或损失也包括在本项目内。根据会计“利润表”中“资产处置收益”项目的本年累计数填报。如果“利润表”未设置该项目，填0。</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4"/>
          <w:highlight w:val="none"/>
        </w:rPr>
        <w:t>其他收益</w:t>
      </w:r>
      <w:r>
        <w:rPr>
          <w:rFonts w:hint="eastAsia" w:ascii="Times New Roman" w:hAnsi="Times New Roman"/>
          <w:bCs/>
          <w:color w:val="auto"/>
          <w:szCs w:val="21"/>
          <w:highlight w:val="none"/>
        </w:rPr>
        <w:t>指计入其他收益的政府补助，以及其他与日常活动相关且计入其他收益的项目。根据会计“利润表”中“其他收益”项目的本年累计数填报。如果会计“利润表”未设置该项目，填0。</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4"/>
          <w:highlight w:val="none"/>
        </w:rPr>
        <w:t>营业利润</w:t>
      </w:r>
      <w:r>
        <w:rPr>
          <w:rFonts w:hint="eastAsia" w:ascii="Times New Roman" w:hAnsi="Times New Roman"/>
          <w:bCs/>
          <w:color w:val="auto"/>
          <w:szCs w:val="24"/>
          <w:highlight w:val="none"/>
        </w:rPr>
        <w:t>指企业从事生产经营活动所取得的利润。执行《企业会计准则》或《小企业会计准则》的企业，根据会计“利润表”中“营业利润”项目的本年累计数填报；执行《企业会计制度》的企业，根据会计“损益表”中“营业利润”项目、“投资收益”项目的本年累计数之和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营业外收入</w:t>
      </w:r>
      <w:r>
        <w:rPr>
          <w:rFonts w:hint="eastAsia" w:ascii="Times New Roman" w:hAnsi="Times New Roman"/>
          <w:bCs/>
          <w:color w:val="auto"/>
          <w:szCs w:val="21"/>
          <w:highlight w:val="none"/>
        </w:rPr>
        <w:t>指企业发生的除营业利润以外的收益，主要包括与企业日常活动无关的政府补助、盘盈利得、捐赠利得等。执行《企业会计准则》或《小企业会计准则》的企业，根据会计“利润表”中“营业外收入”项目的本年累计数填报；执行《企业会计制度》的企业，根据会计“损益表”中“营业外收入”项目、“补贴收入”项目的本年累计数之和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营业外支出</w:t>
      </w:r>
      <w:r>
        <w:rPr>
          <w:rFonts w:hint="eastAsia" w:ascii="Times New Roman" w:hAnsi="Times New Roman"/>
          <w:bCs/>
          <w:color w:val="auto"/>
          <w:szCs w:val="21"/>
          <w:highlight w:val="none"/>
        </w:rPr>
        <w:t>指企业发生的除营业利润以外的支出，主要包括公益性捐赠支出、非常损失、盘亏损失、非流动资产毁损报废损失等。根据会计“利润表”中“营业外支出”项目的本年累计数填报。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利润总额</w:t>
      </w:r>
      <w:r>
        <w:rPr>
          <w:rFonts w:hint="eastAsia" w:ascii="Times New Roman" w:hAnsi="Times New Roman"/>
          <w:bCs/>
          <w:color w:val="auto"/>
          <w:szCs w:val="24"/>
          <w:highlight w:val="none"/>
        </w:rPr>
        <w:t>指企业在一定会计期间的经营成果，是生产经营过程中各种收入扣除各种耗费后的盈余，反映企业在报告期内实现的盈亏总额。利润总额为营业利润加上营业外收入，减去营业外支出后的金额，根据会计“利润表”中“利润总额”项目的本年累计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净利润</w:t>
      </w:r>
      <w:r>
        <w:rPr>
          <w:rFonts w:hint="eastAsia" w:ascii="Times New Roman" w:hAnsi="Times New Roman"/>
          <w:bCs/>
          <w:color w:val="auto"/>
          <w:szCs w:val="24"/>
          <w:highlight w:val="none"/>
        </w:rPr>
        <w:t>指企业实现的利润在上交国家所得税后的剩余部分，按会计“损益表”中“净利润”项目的本年累计数填报。</w:t>
      </w:r>
    </w:p>
    <w:p>
      <w:pPr>
        <w:adjustRightInd w:val="0"/>
        <w:snapToGrid w:val="0"/>
        <w:spacing w:line="400" w:lineRule="exact"/>
        <w:ind w:firstLine="420" w:firstLineChars="200"/>
        <w:rPr>
          <w:rFonts w:hint="default" w:ascii="Times New Roman" w:hAnsi="Times New Roman"/>
          <w:bCs/>
          <w:color w:val="auto"/>
          <w:szCs w:val="24"/>
          <w:highlight w:val="none"/>
        </w:rPr>
      </w:pPr>
      <w:r>
        <w:rPr>
          <w:rFonts w:ascii="Times New Roman" w:hAnsi="Times New Roman" w:eastAsia="黑体"/>
          <w:bCs/>
          <w:color w:val="auto"/>
          <w:szCs w:val="21"/>
          <w:highlight w:val="none"/>
        </w:rPr>
        <w:t>所得税费用</w:t>
      </w:r>
      <w:r>
        <w:rPr>
          <w:rFonts w:hint="eastAsia" w:ascii="Times New Roman" w:hAnsi="Times New Roman"/>
          <w:bCs/>
          <w:color w:val="auto"/>
          <w:szCs w:val="24"/>
          <w:highlight w:val="none"/>
        </w:rPr>
        <w:t>所得税费用由两部分组成：当期所得税和递延所得税。当期所得税是指企业按照税法规定计算确定的针对当期发生的交易和事项，应交纳给税务部门的所得税金额，即应交所得税。递延所得税是指按照所得税准则规定应予确认的递延所得税资产和递延所得税负债应有的金额相对于原已确认金额之间的差异。执行《企业会计准则》或《小企业会计准则》的企业，根据会计“利润表”中“所得税费用”项目的本年累计数填报；执行《企业会计制度》的企业，根据会计“损益表”中“所得税”项目的本年累计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实际上缴税费总额</w:t>
      </w:r>
      <w:r>
        <w:rPr>
          <w:rFonts w:ascii="Times New Roman" w:hAnsi="Times New Roman"/>
          <w:bCs/>
          <w:color w:val="auto"/>
          <w:szCs w:val="24"/>
          <w:highlight w:val="none"/>
        </w:rPr>
        <w:t>指企业在报告期年度内因生产经营等活动而实际上缴的各项税金、特种基金和附加费，包含印花税、土地使用税、房地产税及教育附加费等，不包含代扣代缴个人所得税和关税。按当年实际发生额填报。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减免税总额</w:t>
      </w:r>
      <w:r>
        <w:rPr>
          <w:rFonts w:ascii="Times New Roman" w:hAnsi="Times New Roman"/>
          <w:bCs/>
          <w:color w:val="auto"/>
          <w:szCs w:val="24"/>
          <w:highlight w:val="none"/>
        </w:rPr>
        <w:t>指报告期内企业根据国家或地方政府有关政策，所享受的各种减免税总额。包括税率式减免、税基式减免和税额式减免三类。具体包括已申报已审批、非申报非审批的征前减免和退库减免。其中，征前减免包括所得税加计扣除减免、欠税抵顶减免、对个体工商户提高起征点减免等；退库减免包括税务部门审批办理的先征后退（即征即退）、财政部门审批办理的流转税先征后退减免。</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default" w:ascii="Times New Roman" w:hAnsi="Times New Roman" w:eastAsia="黑体"/>
          <w:bCs/>
          <w:color w:val="auto"/>
          <w:szCs w:val="21"/>
          <w:highlight w:val="none"/>
        </w:rPr>
        <w:t>享受先进制造业增值税加计抵减额</w:t>
      </w:r>
      <w:r>
        <w:rPr>
          <w:rFonts w:hint="default" w:ascii="Times New Roman" w:hAnsi="Times New Roman"/>
          <w:bCs/>
          <w:color w:val="auto"/>
          <w:szCs w:val="24"/>
          <w:highlight w:val="none"/>
        </w:rPr>
        <w:t>指报告期内高新技术企业按照《财政部 税务总局关于先进制造业企业增值税加计抵减政策的公告》（财政部税务总局公告〔2023〕43号）、《工业和信息化部办公厅关于2023年度享受增值税加计抵减政策的先进制造业企业名单制定工作有关事项的通知》（工信厅财函﹝2023﹞267号）及相关政策依法享受的增值税加计抵减额，按填报期当年税务部门实际抵减的税额填报。如本年实际发生的抵减额为零，即填0。</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享受高新技术企业所得税减免</w:t>
      </w:r>
      <w:r>
        <w:rPr>
          <w:rFonts w:ascii="Times New Roman" w:hAnsi="Times New Roman"/>
          <w:bCs/>
          <w:color w:val="auto"/>
          <w:szCs w:val="24"/>
          <w:highlight w:val="none"/>
        </w:rPr>
        <w:t>指报告期内高新技术企业按照国家有关政策依法享受的企业所得税减免额，按填报期当年税务部门实际减免的税额填报。如本年实际发生的减免额为零，即填0。对填报期上年应获得减免但未予实施，而实际在填报期年度获得减免的，须计入填报期填报。</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Times New Roman" w:hAnsi="Times New Roman" w:eastAsia="黑体"/>
          <w:bCs/>
          <w:color w:val="auto"/>
          <w:szCs w:val="21"/>
          <w:highlight w:val="none"/>
          <w:lang w:eastAsia="zh-CN"/>
        </w:rPr>
        <w:t>享受</w:t>
      </w:r>
      <w:r>
        <w:rPr>
          <w:rFonts w:ascii="Times New Roman" w:hAnsi="Times New Roman" w:eastAsia="黑体"/>
          <w:bCs/>
          <w:color w:val="auto"/>
          <w:szCs w:val="21"/>
          <w:highlight w:val="none"/>
        </w:rPr>
        <w:t>研发加计扣除所得税减免</w:t>
      </w:r>
      <w:r>
        <w:rPr>
          <w:rFonts w:ascii="Times New Roman" w:hAnsi="Times New Roman"/>
          <w:bCs/>
          <w:color w:val="auto"/>
          <w:szCs w:val="24"/>
          <w:highlight w:val="none"/>
        </w:rPr>
        <w:t>指报告期内企业按照有关政策和税法规定税前加计扣除的研究开发活动费用所得税，按填报期当年税务部门实际减免的税额填报。如本年实际发生的减免额为零，即填0。对填报期上年应获得减免但未予实施，而实际在填报期年度获得减免的，须计入填报期填报。</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Times New Roman" w:hAnsi="Times New Roman" w:eastAsia="黑体"/>
          <w:bCs/>
          <w:color w:val="auto"/>
          <w:szCs w:val="21"/>
          <w:highlight w:val="none"/>
          <w:lang w:eastAsia="zh-CN"/>
        </w:rPr>
        <w:t>享受</w:t>
      </w:r>
      <w:r>
        <w:rPr>
          <w:rFonts w:ascii="Times New Roman" w:hAnsi="Times New Roman" w:eastAsia="黑体"/>
          <w:bCs/>
          <w:color w:val="auto"/>
          <w:szCs w:val="21"/>
          <w:highlight w:val="none"/>
        </w:rPr>
        <w:t>技术转让所得税减免</w:t>
      </w:r>
      <w:r>
        <w:rPr>
          <w:rFonts w:ascii="Times New Roman" w:hAnsi="Times New Roman"/>
          <w:bCs/>
          <w:color w:val="auto"/>
          <w:szCs w:val="24"/>
          <w:highlight w:val="none"/>
        </w:rPr>
        <w:t>指按照《企业所得税法》第二十七条和《企业所得税法实施条例》第九十七条规定，企业符合条件的技术转让所得免征、减征的企业所得税额。</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ascii="Times New Roman" w:hAnsi="Times New Roman" w:eastAsia="黑体"/>
          <w:bCs/>
          <w:color w:val="auto"/>
          <w:szCs w:val="24"/>
          <w:highlight w:val="none"/>
        </w:rPr>
        <w:t>应交增值税</w:t>
      </w:r>
      <w:r>
        <w:rPr>
          <w:rFonts w:hint="eastAsia" w:ascii="Times New Roman" w:hAnsi="Times New Roman"/>
          <w:bCs/>
          <w:color w:val="auto"/>
          <w:szCs w:val="24"/>
          <w:highlight w:val="none"/>
        </w:rPr>
        <w:t>按照税法规定，以销售货物、服务、无形资产、不动产或提供加工、修理修配劳务的增值额和货物进口金额为计税依据而课征的一种流转税。填报本指标时，应按权责发生制核算企业本期应负担的增值税，有两种计算方法，可选其一，一旦确定，原则上不得更改。</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方法一：根据本期会计科目“销项税额”“进项税额转出”“出口退税”“简易计税”年初至期末贷方累计发生额，“进项税额”“出口抵减内销产品应纳税额”“减免税款”年初至期末借方累计发生额，取值后按照下述公式计算填报：</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应交增值税（本年累计发生额）=销项税额－（进项税额－进项税额转出）－出口抵减内销产品应纳税额－减免税款+出口退税+简易计税</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方法二：根据本期《增值税及附加税费申报表（一般纳税人适用）》（以“国家税务总局公告2021年第20号”版式为例）主表“销项税额”（第11栏）“进项税额”（第12栏）“进项税额转出”（第14栏）“免、抵、退应退税额”（第15栏）“简易计税办法计算的应纳税额”（第21栏）“按简易计税办法计算的纳税检查应补缴税额”（第22栏）“应纳税额减征额”（第23栏）栏目“一般项目”列中“本年累计”列，各期附表4“税额抵减情况表”（第6行第2列减第3列）“本期发生额”-“本期调减额”的本期累计数（政策有效期内，符合加计抵减条件的企业填报），按照下述公式计算填报：</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应交增值税（本年累计发生额）=销项税额－（进项税额－进项税额转出－免、抵、退应退税额）+简易计税办法计算的应纳税额+按简易计税办法计算的纳税检查应补缴税额－应纳税额减征额-加计抵减额</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计算方法说明及填报要求：</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（1）计算公式均体现权责发生制，本期发生的进项税额全部参与计算，相当于不设置留抵，同时也不抵扣会计账簿或增值税纳税申报表中上年年末留抵的进项税额，公式计算结果可以为负数。</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Times New Roman" w:hAnsi="Times New Roman"/>
          <w:bCs/>
          <w:color w:val="auto"/>
          <w:szCs w:val="24"/>
          <w:highlight w:val="none"/>
        </w:rPr>
        <w:t>（2）按照公式计算本指标后，不应再加增值税减免税额，因为这部分价值不再形成企业缴纳义务。</w:t>
      </w:r>
    </w:p>
    <w:p>
      <w:pPr>
        <w:adjustRightInd w:val="0"/>
        <w:snapToGrid w:val="0"/>
        <w:spacing w:line="400" w:lineRule="exact"/>
        <w:ind w:firstLine="420" w:firstLineChars="200"/>
        <w:rPr>
          <w:rFonts w:ascii="Times New Roman" w:hAnsi="Times New Roman"/>
          <w:bCs/>
          <w:color w:val="auto"/>
          <w:sz w:val="24"/>
          <w:highlight w:val="none"/>
        </w:rPr>
      </w:pPr>
      <w:r>
        <w:rPr>
          <w:rFonts w:ascii="Times New Roman" w:hAnsi="Times New Roman" w:eastAsia="黑体"/>
          <w:bCs/>
          <w:color w:val="auto"/>
          <w:szCs w:val="24"/>
          <w:highlight w:val="none"/>
        </w:rPr>
        <w:t>进项税额</w:t>
      </w:r>
      <w:r>
        <w:rPr>
          <w:rFonts w:ascii="Times New Roman" w:hAnsi="Times New Roman"/>
          <w:bCs/>
          <w:color w:val="auto"/>
          <w:szCs w:val="24"/>
          <w:highlight w:val="none"/>
        </w:rPr>
        <w:t>指企业在报告期内购入货物或接受应税劳务而支付的、准予从销项税额中抵扣的增值税额。</w:t>
      </w:r>
    </w:p>
    <w:p>
      <w:pPr>
        <w:adjustRightInd w:val="0"/>
        <w:snapToGrid w:val="0"/>
        <w:spacing w:line="400" w:lineRule="exact"/>
        <w:ind w:firstLine="420" w:firstLineChars="200"/>
        <w:rPr>
          <w:rFonts w:ascii="Times New Roman" w:hAnsi="Times New Roman"/>
          <w:bCs/>
          <w:color w:val="auto"/>
          <w:sz w:val="24"/>
          <w:highlight w:val="none"/>
        </w:rPr>
      </w:pPr>
      <w:r>
        <w:rPr>
          <w:rFonts w:ascii="Times New Roman" w:hAnsi="Times New Roman" w:eastAsia="黑体"/>
          <w:bCs/>
          <w:color w:val="auto"/>
          <w:szCs w:val="24"/>
          <w:highlight w:val="none"/>
        </w:rPr>
        <w:t>销项税额</w:t>
      </w:r>
      <w:r>
        <w:rPr>
          <w:rFonts w:ascii="Times New Roman" w:hAnsi="Times New Roman"/>
          <w:bCs/>
          <w:color w:val="auto"/>
          <w:szCs w:val="24"/>
          <w:highlight w:val="none"/>
        </w:rPr>
        <w:t>指企业在报告期内销售货物或提供应税劳务应收取的增值税额。</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本年应付职工薪酬</w:t>
      </w:r>
      <w:r>
        <w:rPr>
          <w:rFonts w:ascii="Times New Roman" w:hAnsi="Times New Roman"/>
          <w:bCs/>
          <w:color w:val="auto"/>
          <w:szCs w:val="24"/>
          <w:highlight w:val="none"/>
        </w:rPr>
        <w:t>指企业为获得职工提供的服务或解除劳动关系而给予的各种形式的报酬或补偿。包括短期薪酬、离职后福利、辞退福利和其他长期职工福利。如果企业财务报告附注中包含“应付职工薪酬”项目，则根据其“应付职工薪酬列示”部分的合计项的本期增加额填报，执行《企业会计准则》或《小企业会计准则》的企业，根据会计“应付职工薪酬”科目的本年贷方累计发生额填报；执行其他企业会计制度的企业，应将本年上述职工薪酬包含的项目归并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资产总计</w:t>
      </w:r>
      <w:r>
        <w:rPr>
          <w:rFonts w:hint="eastAsia" w:ascii="Times New Roman" w:hAnsi="Times New Roman"/>
          <w:bCs/>
          <w:color w:val="auto"/>
          <w:szCs w:val="24"/>
          <w:highlight w:val="none"/>
        </w:rPr>
        <w:t>指企业过去的交易或者事项形成的、由企业拥有或者控制的、预期会给企业带来经济利益的资源。包括企业拥有的土地、办公楼、厂房、机器、运输工具、存货等实物资产和现金、存款、应收账款和预付账款等金融资产。资产一般按流动性（资产的变现或耗用时间长短）分为流动资产和非流动资产。其中流动资产可分为货币资金、交易性金融资产、应收票据、应收账款、预付款项、其他应收款、存货等；非流动资产可分为长期股权投资、固定资产、无形资产及其他非流动资产等。根据会计“资产负债表”中“资产总计”项目的期末余额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流动资产合计</w:t>
      </w:r>
      <w:r>
        <w:rPr>
          <w:rFonts w:hint="eastAsia"/>
          <w:bCs/>
          <w:color w:val="auto"/>
          <w:szCs w:val="24"/>
          <w:highlight w:val="none"/>
        </w:rPr>
        <w:t>资产满足以下条件之一应归为流动资产：（1）预计在一个正常营业周期中变现、出售或耗用，主要包括存货、应收账款等；（2）主要为交易目的而持有；（3）预计在资产负债表日起一年内（含一年）变现；（4）自资产负债表日起一年内，交换其他资产或清偿负债的能力不受限制的现金或现金等价物。包括货币资金、应收票据、应收账款、存货等项目。根据会计“资产负债表”中“流动资产合计”项目的期末余额数填报。</w:t>
      </w:r>
    </w:p>
    <w:p>
      <w:pPr>
        <w:adjustRightInd w:val="0"/>
        <w:snapToGrid w:val="0"/>
        <w:spacing w:line="400" w:lineRule="exact"/>
        <w:ind w:firstLine="420" w:firstLineChars="200"/>
        <w:rPr>
          <w:rFonts w:hint="eastAsia"/>
          <w:bCs/>
          <w:color w:val="auto"/>
          <w:szCs w:val="24"/>
          <w:highlight w:val="none"/>
        </w:rPr>
      </w:pPr>
      <w:r>
        <w:rPr>
          <w:rFonts w:ascii="Times New Roman" w:hAnsi="Times New Roman" w:eastAsia="黑体"/>
          <w:bCs/>
          <w:color w:val="auto"/>
          <w:szCs w:val="21"/>
          <w:highlight w:val="none"/>
        </w:rPr>
        <w:t>非流动资产合计</w:t>
      </w:r>
      <w:r>
        <w:rPr>
          <w:rFonts w:hint="eastAsia"/>
          <w:bCs/>
          <w:color w:val="auto"/>
          <w:szCs w:val="24"/>
          <w:highlight w:val="none"/>
        </w:rPr>
        <w:t>指不能在一年或者超过一年的一个营业周期内变现或者耗用的资产，主要包括持有到期投资、长期应收款、长期股权投资、工程物资、投资性房地产、固定资产、在建工程、无形资产、长期待摊费用、可供出售金融资产等。根据会计“资产负债表”中“非流动资产”科目的期末余额填报。</w:t>
      </w:r>
    </w:p>
    <w:p>
      <w:pPr>
        <w:adjustRightInd w:val="0"/>
        <w:snapToGrid w:val="0"/>
        <w:spacing w:line="400" w:lineRule="exact"/>
        <w:ind w:firstLine="420" w:firstLineChars="200"/>
        <w:rPr>
          <w:rFonts w:ascii="Times New Roman" w:hAnsi="Times New Roman" w:eastAsia="黑体"/>
          <w:bCs/>
          <w:color w:val="auto"/>
          <w:szCs w:val="21"/>
          <w:highlight w:val="none"/>
        </w:rPr>
      </w:pPr>
      <w:r>
        <w:rPr>
          <w:rFonts w:ascii="Times New Roman" w:hAnsi="Times New Roman" w:eastAsia="黑体"/>
          <w:bCs/>
          <w:color w:val="auto"/>
          <w:szCs w:val="21"/>
          <w:highlight w:val="none"/>
        </w:rPr>
        <w:t>固定资产净值</w:t>
      </w:r>
      <w:r>
        <w:rPr>
          <w:rFonts w:ascii="Times New Roman" w:hAnsi="Times New Roman"/>
          <w:bCs/>
          <w:color w:val="auto"/>
          <w:szCs w:val="21"/>
          <w:highlight w:val="none"/>
        </w:rPr>
        <w:t>指固定资产原价减去已提折旧后的净额，反映企业实际占用在固定资产上的资金数额和固定资产的新旧程度。计算公式：固定资产净值=固定资产原价-累计折旧。</w:t>
      </w:r>
      <w:r>
        <w:rPr>
          <w:rFonts w:ascii="Times New Roman" w:hAnsi="Times New Roman"/>
          <w:bCs/>
          <w:color w:val="auto"/>
          <w:szCs w:val="24"/>
          <w:highlight w:val="none"/>
        </w:rPr>
        <w:t>固定资产指企业为生产商品、提供劳务、出租或经营管理而持有的，使用寿命超过一个会计年度的有形资产。包括房屋、建筑物、机器、机械、运输工具以及其他与生产经营活动有关的设备、器具、工具等。</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无形资产</w:t>
      </w:r>
      <w:r>
        <w:rPr>
          <w:rFonts w:hint="eastAsia" w:ascii="Times New Roman" w:hAnsi="Times New Roman"/>
          <w:bCs/>
          <w:color w:val="auto"/>
          <w:szCs w:val="24"/>
          <w:highlight w:val="none"/>
        </w:rPr>
        <w:t>指调查单位拥有或者控制的没有实物形态的可辨认非货币性资产，无形资产通常包括专利权、非专利技术、商标权、著作权、特许权、土地使用权等。根据会计“资产负债表”中“无形资产”项目的期末余额填报。</w:t>
      </w:r>
    </w:p>
    <w:p>
      <w:pPr>
        <w:adjustRightInd w:val="0"/>
        <w:snapToGrid w:val="0"/>
        <w:spacing w:line="400" w:lineRule="exact"/>
        <w:ind w:firstLine="420" w:firstLineChars="200"/>
        <w:rPr>
          <w:rFonts w:ascii="Times New Roman" w:hAnsi="Times New Roman"/>
          <w:b/>
          <w:bCs/>
          <w:color w:val="auto"/>
          <w:szCs w:val="24"/>
          <w:highlight w:val="none"/>
        </w:rPr>
      </w:pPr>
      <w:r>
        <w:rPr>
          <w:rFonts w:ascii="Times New Roman" w:hAnsi="Times New Roman" w:eastAsia="黑体"/>
          <w:bCs/>
          <w:color w:val="auto"/>
          <w:szCs w:val="21"/>
          <w:highlight w:val="none"/>
        </w:rPr>
        <w:t>开发支出</w:t>
      </w:r>
      <w:r>
        <w:rPr>
          <w:rFonts w:hint="eastAsia"/>
          <w:bCs/>
          <w:color w:val="auto"/>
          <w:szCs w:val="24"/>
          <w:highlight w:val="none"/>
        </w:rPr>
        <w:t>指企业的研发项目在开发阶段满足资本化条件的支出，即达到预定用途形成无形资产的，计入“开发支出”。根据“研发支出”科目的“资本化支出”明细科目期末借方余额填列。</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固定资产折旧</w:t>
      </w:r>
      <w:r>
        <w:rPr>
          <w:rFonts w:ascii="Times New Roman" w:hAnsi="Times New Roman"/>
          <w:bCs/>
          <w:color w:val="auto"/>
          <w:szCs w:val="24"/>
          <w:highlight w:val="none"/>
        </w:rPr>
        <w:t>指企业在固定资产的使用寿命内，按照确定的方法对应计折旧额进行系统分摊。</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累计折旧</w:t>
      </w:r>
      <w:r>
        <w:rPr>
          <w:rFonts w:hint="eastAsia" w:ascii="Times New Roman" w:hAnsi="Times New Roman"/>
          <w:bCs/>
          <w:color w:val="auto"/>
          <w:szCs w:val="24"/>
          <w:highlight w:val="none"/>
        </w:rPr>
        <w:t>指企业在报告期末提取的历年固定资产折旧累计数。包括房屋、建筑物和机器设备等的折旧费。根据会计“累计折旧”科目的期末贷方余额填报。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本年折旧</w:t>
      </w:r>
      <w:r>
        <w:rPr>
          <w:rFonts w:hint="eastAsia" w:ascii="Times New Roman" w:hAnsi="Times New Roman"/>
          <w:bCs/>
          <w:color w:val="auto"/>
          <w:szCs w:val="24"/>
          <w:highlight w:val="none"/>
        </w:rPr>
        <w:t>指企业在报告期内提取的固定资产折旧合计数。可根据会计“累计折旧”科目的本期贷方累计发生额填报；或者，可根据会计“财务状况变动表”中“固定资产折旧”项的数值填报。若企业执行2001年《企业会计制度》，可以根据会计核算中《资产减值准备、投资及固定资产情况表》内“当年计提的固定资产折旧总额”项本年增加数填报。</w:t>
      </w:r>
    </w:p>
    <w:p>
      <w:pPr>
        <w:adjustRightInd w:val="0"/>
        <w:snapToGrid w:val="0"/>
        <w:spacing w:line="400" w:lineRule="exact"/>
        <w:ind w:firstLine="420" w:firstLineChars="200"/>
        <w:rPr>
          <w:rFonts w:hint="eastAsia"/>
          <w:bCs/>
          <w:color w:val="auto"/>
          <w:szCs w:val="24"/>
          <w:highlight w:val="none"/>
        </w:rPr>
      </w:pPr>
      <w:r>
        <w:rPr>
          <w:rFonts w:ascii="Times New Roman" w:hAnsi="Times New Roman" w:eastAsia="黑体"/>
          <w:bCs/>
          <w:color w:val="auto"/>
          <w:szCs w:val="21"/>
          <w:highlight w:val="none"/>
        </w:rPr>
        <w:t>年末负债合计</w:t>
      </w:r>
      <w:r>
        <w:rPr>
          <w:rFonts w:hint="eastAsia"/>
          <w:bCs/>
          <w:color w:val="auto"/>
          <w:szCs w:val="24"/>
          <w:highlight w:val="none"/>
        </w:rPr>
        <w:t>指企业过去的交易或者事项形成的，预期会导致经济利益流出企业的现时义务。包括银行贷款、借款、应付账款、应付职工工资、应付职工福利费、应交税金等企业负有偿还责任的债务。根据会计“资产负债表”中“负债合计”项目的期末余额数填报。</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bCs/>
          <w:color w:val="auto"/>
          <w:szCs w:val="24"/>
          <w:highlight w:val="none"/>
        </w:rPr>
        <w:t>负债一般按偿还期长短分为流动负债和非流动负债。执行《企业会计准则》或《小企业会计准则》的企业：负债合计=流动负债合计+非流动负债合计；执行《企业会计制度》的企业负债包括流动负债和长期负债。</w:t>
      </w:r>
    </w:p>
    <w:p>
      <w:pPr>
        <w:adjustRightInd w:val="0"/>
        <w:snapToGrid w:val="0"/>
        <w:spacing w:line="400" w:lineRule="exact"/>
        <w:ind w:firstLine="420" w:firstLineChars="200"/>
        <w:rPr>
          <w:bCs/>
          <w:color w:val="auto"/>
          <w:szCs w:val="24"/>
          <w:highlight w:val="none"/>
        </w:rPr>
      </w:pPr>
      <w:r>
        <w:rPr>
          <w:rFonts w:ascii="Times New Roman" w:hAnsi="Times New Roman" w:eastAsia="黑体"/>
          <w:bCs/>
          <w:color w:val="auto"/>
          <w:szCs w:val="21"/>
          <w:highlight w:val="none"/>
        </w:rPr>
        <w:t>流动负债合计</w:t>
      </w:r>
      <w:r>
        <w:rPr>
          <w:rFonts w:hint="eastAsia"/>
          <w:bCs/>
          <w:color w:val="auto"/>
          <w:szCs w:val="24"/>
          <w:highlight w:val="none"/>
        </w:rPr>
        <w:t>负债满足下列条件之一的应归为流动负债：（1）预计在一个正常营业周期中清偿；（2）主要为交易目的而持有；（3）自资产负债表日起一年内到期应予清偿；（4）企业无权自主地将清偿推迟至资产负债表日后一年以上。包括短期借款、应付票据、应付账款、应付职工薪酬、应交税费等项目。根据会计“资产负债表”中“流动负债合计”项目的期末余额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存量银行贷款额</w:t>
      </w:r>
      <w:r>
        <w:rPr>
          <w:rFonts w:ascii="Times New Roman" w:hAnsi="Times New Roman"/>
          <w:bCs/>
          <w:color w:val="auto"/>
          <w:szCs w:val="24"/>
          <w:highlight w:val="none"/>
        </w:rPr>
        <w:t>指到会计期末企业尚未偿还的银行贷款，等于贷款总额扣除已偿还的银行贷款。</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年末所有者权益</w:t>
      </w:r>
      <w:r>
        <w:rPr>
          <w:rFonts w:hint="eastAsia" w:ascii="Times New Roman" w:hAnsi="Times New Roman"/>
          <w:bCs/>
          <w:color w:val="auto"/>
          <w:szCs w:val="24"/>
          <w:highlight w:val="none"/>
        </w:rPr>
        <w:t>指企业资产扣除负债后由所有者享有的剩余权益。公司的所有者权益又称股东权益。包括实收资本、资本公积、盈余公积、未分配利润等。根据会计“资产负债表”中“所有者权益合计”项目的期末余额数填报。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实收资本</w:t>
      </w:r>
      <w:r>
        <w:rPr>
          <w:rFonts w:hint="eastAsia" w:ascii="Times New Roman" w:hAnsi="Times New Roman"/>
          <w:bCs/>
          <w:color w:val="auto"/>
          <w:szCs w:val="24"/>
          <w:highlight w:val="none"/>
        </w:rPr>
        <w:t>指企业各投资者实际投入的资本（或股本）总额，包括货币、实物、无形资产等各种形式的投入。实收资本按投资主体可分为国家资本、集体资本、法人资本、个人资本、港澳台资本和外商资本。根据会计“资产负债表”中“所有者权益”项下“实收资本”的期末余额数填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企业上市融资股本</w:t>
      </w:r>
      <w:r>
        <w:rPr>
          <w:rFonts w:ascii="Times New Roman" w:hAnsi="Times New Roman"/>
          <w:bCs/>
          <w:color w:val="auto"/>
          <w:szCs w:val="24"/>
          <w:highlight w:val="none"/>
        </w:rPr>
        <w:t>指截至当年存有的股本，不是指融资量，统计前提是上市资产的所有权归属于填报企业。</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企业境外上市融资股本</w:t>
      </w:r>
      <w:r>
        <w:rPr>
          <w:rFonts w:ascii="Times New Roman" w:hAnsi="Times New Roman"/>
          <w:bCs/>
          <w:color w:val="auto"/>
          <w:szCs w:val="24"/>
          <w:highlight w:val="none"/>
        </w:rPr>
        <w:t>指截至当年存有的股本，不是指融资量，统计前提是海外上市资产的所有权归属于填报企业。</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对境外直接投资额</w:t>
      </w:r>
      <w:r>
        <w:rPr>
          <w:rFonts w:ascii="Times New Roman" w:hAnsi="Times New Roman"/>
          <w:bCs/>
          <w:color w:val="auto"/>
          <w:szCs w:val="24"/>
          <w:highlight w:val="none"/>
        </w:rPr>
        <w:t>指境内投资主体在报告期内直接向其境外企业实现的实际投资额，包括股本投资部分、利润再投资部分以及与公司之间债务交易有关的其他投资部分。</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股本投资</w:t>
      </w:r>
      <w:r>
        <w:rPr>
          <w:rFonts w:ascii="Times New Roman" w:hAnsi="Times New Roman"/>
          <w:bCs/>
          <w:color w:val="auto"/>
          <w:szCs w:val="24"/>
          <w:highlight w:val="none"/>
        </w:rPr>
        <w:t>指境内投资主体在其境外分支机构的股本金，或在其境外子公司和联营公司的股份。</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利润再投资</w:t>
      </w:r>
      <w:r>
        <w:rPr>
          <w:rFonts w:ascii="Times New Roman" w:hAnsi="Times New Roman"/>
          <w:bCs/>
          <w:color w:val="auto"/>
          <w:szCs w:val="24"/>
          <w:highlight w:val="none"/>
        </w:rPr>
        <w:t>指境外子公司或联营公司未作为红利分配但应归属于境内投资主体的利润部分，以及境外分支机构未汇给境内投资主体的利润部分。</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其他投资</w:t>
      </w:r>
      <w:r>
        <w:rPr>
          <w:rFonts w:ascii="Times New Roman" w:hAnsi="Times New Roman"/>
          <w:bCs/>
          <w:color w:val="auto"/>
          <w:szCs w:val="24"/>
          <w:highlight w:val="none"/>
        </w:rPr>
        <w:t>指境内投资主体和境外子公司、分支机构以及联营公司之间的债务交易等，包括境内投资主体向境外子公司提供的贷款和境外子公司向境内投资主体提供的贷款。</w:t>
      </w:r>
    </w:p>
    <w:p>
      <w:pPr>
        <w:shd w:val="clear" w:color="auto" w:fill="auto"/>
        <w:spacing w:line="400" w:lineRule="exact"/>
        <w:ind w:firstLine="420" w:firstLineChars="200"/>
        <w:rPr>
          <w:rFonts w:hint="eastAsia" w:eastAsia="宋体"/>
          <w:bCs/>
          <w:color w:val="auto"/>
          <w:highlight w:val="none"/>
        </w:rPr>
      </w:pPr>
      <w:r>
        <w:rPr>
          <w:rFonts w:hint="eastAsia" w:eastAsia="黑体"/>
          <w:bCs/>
          <w:color w:val="auto"/>
          <w:highlight w:val="none"/>
        </w:rPr>
        <w:t>固定资产投资额</w:t>
      </w:r>
      <w:r>
        <w:rPr>
          <w:rFonts w:hint="eastAsia" w:ascii="Times New Roman" w:hAnsi="Times New Roman"/>
          <w:bCs/>
          <w:color w:val="auto"/>
          <w:szCs w:val="24"/>
          <w:highlight w:val="none"/>
        </w:rPr>
        <w:t>指以货币形式表现的在一定时期内建造和购置固定资产的工作量以及与此有关的费用的总称。固定资产投资统计范围不包括：</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（1）不属于固定资产的。</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①流动资产。无论是否与固定资产投资项目相关，均不能纳入固定资产投资统计范围。</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②消耗品，如办公耗材（低值易耗品）等。</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③投资品，如股票（或股权）、期货、金融衍生产品、古玩字画、文艺作品等。</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④消耗性生物资产，如农作物、待售林木和花卉、存栏待售的牲畜（非种畜、役畜）等。</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⑤发放给农户的货币补贴，如美丽乡村、新农村建设等项目中的补贴。</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⑥投资统计制度规定的其他不应纳入投资统计范围的内容。</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（2）相关支出在会计上作为成本费用处理的建设活动。</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一般包括大修理、养护、维护性质的工程，如设备维修、建筑物翻修和加固、单纯装饰装修、农田水利工程（堤防、水库）维修、铁路大修、道路日常养护、景观维护等。这类建设活动未替换原有的固定资产，也没有增加新的固定资产，属于生产范畴，不属于投资活动。</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（3）会造成重复统计的。</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一般包括单纯购置的旧建筑物和旧设备、临时性租赁租入（融资租赁除外）的固定资产、单位购置的商品房（包括主管部门购置商品房转换为保障性住房）、单纯土地平整、土地一级开发、围海造地等。这类建设项目虽然符合固定资产投资属性，但由于其相关支出已经在前期统计或将在后期建设时进行统计，为避免重复统计，上述内容不纳入固定资产投资统计范围。</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下列内容应纳入固定资产投资统计范围：</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1）对现有固定资产进行投入再建设，改变其使用价值，调查单位在会计上进行资本化处理，且达到投资项目报送起点的项目，可纳入固定资产投资统计范围。如在现有道路基础上进行路面拓宽（如4车道扩为6车道）或升级（如低等级道路升级为高等级公路）。</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（2）生产性生物资产，如种畜、役畜和各种经济林木；公益性生物资产，如防风固沙林、水土保持林和水源涵养林；新建城市绿化或道路绿化项目中购置的苗木等，可纳入固定资产投资统计，填入其他费用。</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ascii="Times New Roman" w:hAnsi="Times New Roman" w:eastAsia="黑体"/>
          <w:bCs/>
          <w:color w:val="auto"/>
          <w:szCs w:val="21"/>
          <w:highlight w:val="none"/>
        </w:rPr>
        <w:t>能源消费量</w:t>
      </w:r>
      <w:r>
        <w:rPr>
          <w:rFonts w:hint="eastAsia" w:ascii="Times New Roman" w:hAnsi="Times New Roman"/>
          <w:bCs/>
          <w:color w:val="auto"/>
          <w:szCs w:val="24"/>
          <w:highlight w:val="none"/>
        </w:rPr>
        <w:t>指能源使用企业（单位）在报告期内实际消费的各种能源的数量。能源消费量分实物量和标准量两种。能源消费实物量是按照报表规定的、体现物质形态属性的计量单位（如：吨、立方米）计算的能源消费量；能源消费标准量是按照能源标准计量单位（如：吨标准煤）计算的能源消费量。</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能源消费量的统计原则：</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（1）谁消费、谁统计。即不论其所有权的归属，由哪个单位消费，就由哪个单位统计其消费量。</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（2）何时投入使用，何时计算消费量。企业的能源消费，在时间、工艺界限上，以投入第一道生产工序为标志，即投入第一道生产工序即计算消费；何时投入第一道生产工序，何时计算消费量。</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（3）在计算企业（单位）的综合能源消费量时，不得重复计算，要扣除二次能源的产出量和余热、余能的回收利用量。</w:t>
      </w:r>
    </w:p>
    <w:p>
      <w:pPr>
        <w:adjustRightInd w:val="0"/>
        <w:snapToGrid w:val="0"/>
        <w:spacing w:line="400" w:lineRule="exact"/>
        <w:ind w:firstLine="420" w:firstLineChars="200"/>
        <w:rPr>
          <w:rFonts w:hint="eastAsia" w:ascii="Times New Roman" w:hAnsi="Times New Roman"/>
          <w:bCs/>
          <w:color w:val="auto"/>
          <w:szCs w:val="24"/>
          <w:highlight w:val="none"/>
        </w:rPr>
      </w:pPr>
      <w:r>
        <w:rPr>
          <w:rFonts w:hint="eastAsia" w:ascii="Times New Roman" w:hAnsi="Times New Roman"/>
          <w:bCs/>
          <w:color w:val="auto"/>
          <w:szCs w:val="24"/>
          <w:highlight w:val="none"/>
        </w:rPr>
        <w:t>（4）耗能工质（如水、氧气、压缩空气等），不论是外购的还是自产自用的，均不统计在能源消费量中（计算单位产品能耗时是否包括耗能工质，视统计指标的具体规定而定）。</w:t>
      </w:r>
    </w:p>
    <w:p>
      <w:pPr>
        <w:adjustRightInd w:val="0"/>
        <w:snapToGrid w:val="0"/>
        <w:spacing w:line="400" w:lineRule="exact"/>
        <w:ind w:firstLine="420" w:firstLineChars="200"/>
        <w:rPr>
          <w:rFonts w:ascii="Times New Roman" w:hAnsi="Times New Roman"/>
          <w:bCs/>
          <w:color w:val="auto"/>
          <w:szCs w:val="24"/>
          <w:highlight w:val="none"/>
        </w:rPr>
      </w:pPr>
      <w:r>
        <w:rPr>
          <w:rFonts w:hint="eastAsia" w:ascii="Times New Roman" w:hAnsi="Times New Roman"/>
          <w:bCs/>
          <w:color w:val="auto"/>
          <w:szCs w:val="24"/>
          <w:highlight w:val="none"/>
        </w:rPr>
        <w:t>（5）企业自产的能源，作为企业生产另一种产品的原料或燃料，是否计算消费量，视以下两种情况而定：一是自产的能源如果计算产量，消费时则计算消费量，二是自产的能源如果不计算产量，消费时则不计算消费量，视同产品生产过程中的半成品和中间产品。原则是：计算产量，则计算消费；不计算产量，则不计算消费。</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规模以上工业企业及重点能耗企业综合能源消费量</w:t>
      </w:r>
      <w:r>
        <w:rPr>
          <w:rFonts w:ascii="Times New Roman" w:hAnsi="Times New Roman"/>
          <w:bCs/>
          <w:color w:val="auto"/>
          <w:szCs w:val="24"/>
          <w:highlight w:val="none"/>
        </w:rPr>
        <w:t>是指调查单位在报告期内生产经营活动过程中实际消费的各种能源（扣除能源加工转换和能源回收利用等重复因素）的总和。</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工业企业能源消费量</w:t>
      </w:r>
      <w:r>
        <w:rPr>
          <w:rFonts w:ascii="Times New Roman" w:hAnsi="Times New Roman"/>
          <w:bCs/>
          <w:color w:val="auto"/>
          <w:szCs w:val="24"/>
          <w:highlight w:val="none"/>
        </w:rPr>
        <w:t>是指工业企业在工业生产活动中消费的能源，包括工业生产活动中作为燃料、动力、原料、辅助材料使用的能源，生产工艺中使用的能源，用于能源加工转换的能源。具体包括：</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（1）用于本企业产品生产、工业性作业和其他生产性活动的能源；</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（2）用于技术更新改造措施、新技术研究和新产品试制以及科学试验等方面的能源；</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（3）用于经营维修、建筑及设备大修理、机电设备和交通运输工具等方面的能源；</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（4）用于劳动保护的能源；</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（5）生产交通运输工具的企业（如造船厂、汽车制造厂），向成品轮船、汽车中添加动力用油，应算作企业的能源消费，但不作为工业生产消费，应作为非工业生产消费和交通运输工具消费；</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（6）其他非生产消费的能源。</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不包括：</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（1）由仓库发到车间，但在报告期最后一天没有消费的能源。这部分能源应在办理假退料手续后计入库存量；</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（2）拨到外单位，委托外单位加工用的能源；</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（3）调出本单位或借给外单位的能源。</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非工业企业能源消费量</w:t>
      </w:r>
      <w:r>
        <w:rPr>
          <w:rFonts w:ascii="Times New Roman" w:hAnsi="Times New Roman"/>
          <w:bCs/>
          <w:color w:val="auto"/>
          <w:szCs w:val="24"/>
          <w:highlight w:val="none"/>
        </w:rPr>
        <w:t>指不是工业企业的法人单位所消费的各种能源，具体指建筑业和第三产业的企事业法人单位。其能源消费主要包括：（1）用于生产经营活动的能源；（2）用于技术更新改造措施、新技术研究以及科学试验等方面的能源；（3）用于经营维修、建筑及设备大修理、机电设备和交通运输工具等方面的能源；（4）用于劳动保护的能源；（5）其他非生产消费的能源。</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计算综合能源消费量时，需要将各种能源品种的消费量换算成按照标准计量单位（如：标准煤）计量的消费量。不同法人单位的计算方法如下：</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（1）工业企业综合能源消费量的填报见国家统计局一套表中《能源购进、消费与库存》（205-1表）。</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（2）非工业企业法人单位的能源消费合计=∑（某能源品种的消费量×某能源品种的折标准煤系数）。</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非工业重点耗能单位的能源消费合计（吨标准煤）=电力消费量（千瓦时）×0.1229/1000+煤炭消费量（吨）×0.7143+焦炭消费量（吨）×0.9714+煤气消费量（立方米）×0.5714/1000+</w:t>
      </w:r>
      <w:r>
        <w:rPr>
          <w:rFonts w:hint="eastAsia" w:ascii="Times New Roman" w:hAnsi="Times New Roman"/>
          <w:bCs/>
          <w:color w:val="auto"/>
          <w:szCs w:val="24"/>
          <w:highlight w:val="none"/>
          <w:lang w:eastAsia="zh-CN"/>
        </w:rPr>
        <w:t>天然气</w:t>
      </w:r>
      <w:r>
        <w:rPr>
          <w:rFonts w:ascii="Times New Roman" w:hAnsi="Times New Roman"/>
          <w:bCs/>
          <w:color w:val="auto"/>
          <w:szCs w:val="24"/>
          <w:highlight w:val="none"/>
        </w:rPr>
        <w:t>消费量（立方米）×1.33/1000+液化石油气消费量（吨）×1.7143+汽油消费量（吨）×1.4714+煤油消费量（吨）×1.4714+柴油消费量（吨）×1.4571+燃料油消费量（吨）×1.4286+外购热力消费量（百万千焦）×0.0341。计算时，各品种的计量单位必须与上述公式中的计量单位保持一致。部分能源品种换算关系如下：汽油1升=0.73千克=0.00073吨，轻柴油1升=0.86千克=0.00086吨，重柴油1升=0.92千克=0.00092吨，煤油1升=0.82千克=0.00082吨，燃料油1升=0.91千克=0.00091吨。</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若企业有以上类型之外的能源消费，请与当地统计部门联系确定其计量单位和折标准煤系数。</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规模以上工业企业及重点能耗企业综合能源消费量指标，仅由规上工业企业以及年综合能源消费量1万吨标准煤及以上的重点耗能单位填报。填报时可根据规上工业企业及重点能耗企业填报的国家统计局能源报表抄报。</w:t>
      </w:r>
    </w:p>
    <w:p>
      <w:pPr>
        <w:adjustRightInd w:val="0"/>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创业风险投资机构</w:t>
      </w:r>
      <w:r>
        <w:rPr>
          <w:rFonts w:ascii="Times New Roman" w:hAnsi="Times New Roman"/>
          <w:bCs/>
          <w:color w:val="auto"/>
          <w:szCs w:val="24"/>
          <w:highlight w:val="none"/>
        </w:rPr>
        <w:t>也可称为“创业风险投资基金”，为主要从事创业投资业务的投资性机构。创业风险投资机构是指通过向处于创建和重建过程中的未</w:t>
      </w:r>
      <w:r>
        <w:rPr>
          <w:color w:val="auto"/>
          <w:highlight w:val="none"/>
        </w:rPr>
        <w:fldChar w:fldCharType="begin"/>
      </w:r>
      <w:r>
        <w:rPr>
          <w:color w:val="auto"/>
          <w:highlight w:val="none"/>
        </w:rPr>
        <w:instrText xml:space="preserve"> HYPERLINK "http://baike.baidu.com/view/4598759.htm" </w:instrText>
      </w:r>
      <w:r>
        <w:rPr>
          <w:color w:val="auto"/>
          <w:highlight w:val="none"/>
        </w:rPr>
        <w:fldChar w:fldCharType="separate"/>
      </w:r>
      <w:r>
        <w:rPr>
          <w:rFonts w:ascii="Times New Roman" w:hAnsi="Times New Roman"/>
          <w:bCs/>
          <w:color w:val="auto"/>
          <w:szCs w:val="24"/>
          <w:highlight w:val="none"/>
        </w:rPr>
        <w:t>上市企业</w:t>
      </w:r>
      <w:r>
        <w:rPr>
          <w:rFonts w:ascii="Times New Roman" w:hAnsi="Times New Roman"/>
          <w:bCs/>
          <w:color w:val="auto"/>
          <w:szCs w:val="24"/>
          <w:highlight w:val="none"/>
        </w:rPr>
        <w:fldChar w:fldCharType="end"/>
      </w:r>
      <w:r>
        <w:rPr>
          <w:rFonts w:ascii="Times New Roman" w:hAnsi="Times New Roman"/>
          <w:bCs/>
          <w:color w:val="auto"/>
          <w:szCs w:val="24"/>
          <w:highlight w:val="none"/>
        </w:rPr>
        <w:t>进行</w:t>
      </w:r>
      <w:r>
        <w:rPr>
          <w:color w:val="auto"/>
          <w:highlight w:val="none"/>
        </w:rPr>
        <w:fldChar w:fldCharType="begin"/>
      </w:r>
      <w:r>
        <w:rPr>
          <w:color w:val="auto"/>
          <w:highlight w:val="none"/>
        </w:rPr>
        <w:instrText xml:space="preserve"> HYPERLINK "http://baike.baidu.com/view/813066.htm" </w:instrText>
      </w:r>
      <w:r>
        <w:rPr>
          <w:color w:val="auto"/>
          <w:highlight w:val="none"/>
        </w:rPr>
        <w:fldChar w:fldCharType="separate"/>
      </w:r>
      <w:r>
        <w:rPr>
          <w:rFonts w:ascii="Times New Roman" w:hAnsi="Times New Roman"/>
          <w:bCs/>
          <w:color w:val="auto"/>
          <w:szCs w:val="24"/>
          <w:highlight w:val="none"/>
        </w:rPr>
        <w:t>股权投资</w:t>
      </w:r>
      <w:r>
        <w:rPr>
          <w:rFonts w:ascii="Times New Roman" w:hAnsi="Times New Roman"/>
          <w:bCs/>
          <w:color w:val="auto"/>
          <w:szCs w:val="24"/>
          <w:highlight w:val="none"/>
        </w:rPr>
        <w:fldChar w:fldCharType="end"/>
      </w:r>
      <w:r>
        <w:rPr>
          <w:rFonts w:ascii="Times New Roman" w:hAnsi="Times New Roman"/>
          <w:bCs/>
          <w:color w:val="auto"/>
          <w:szCs w:val="24"/>
          <w:highlight w:val="none"/>
        </w:rPr>
        <w:t>，并为其提供管理和经营服务，以期在企业发展成熟或相对成熟后，通过</w:t>
      </w:r>
      <w:r>
        <w:rPr>
          <w:color w:val="auto"/>
          <w:highlight w:val="none"/>
        </w:rPr>
        <w:fldChar w:fldCharType="begin"/>
      </w:r>
      <w:r>
        <w:rPr>
          <w:color w:val="auto"/>
          <w:highlight w:val="none"/>
        </w:rPr>
        <w:instrText xml:space="preserve"> HYPERLINK "http://baike.baidu.com/view/31950.htm" </w:instrText>
      </w:r>
      <w:r>
        <w:rPr>
          <w:color w:val="auto"/>
          <w:highlight w:val="none"/>
        </w:rPr>
        <w:fldChar w:fldCharType="separate"/>
      </w:r>
      <w:r>
        <w:rPr>
          <w:rFonts w:ascii="Times New Roman" w:hAnsi="Times New Roman"/>
          <w:bCs/>
          <w:color w:val="auto"/>
          <w:szCs w:val="24"/>
          <w:highlight w:val="none"/>
        </w:rPr>
        <w:t>股权转让</w:t>
      </w:r>
      <w:r>
        <w:rPr>
          <w:rFonts w:ascii="Times New Roman" w:hAnsi="Times New Roman"/>
          <w:bCs/>
          <w:color w:val="auto"/>
          <w:szCs w:val="24"/>
          <w:highlight w:val="none"/>
        </w:rPr>
        <w:fldChar w:fldCharType="end"/>
      </w:r>
      <w:r>
        <w:rPr>
          <w:rFonts w:ascii="Times New Roman" w:hAnsi="Times New Roman"/>
          <w:bCs/>
          <w:color w:val="auto"/>
          <w:szCs w:val="24"/>
          <w:highlight w:val="none"/>
        </w:rPr>
        <w:t>获取</w:t>
      </w:r>
      <w:r>
        <w:rPr>
          <w:color w:val="auto"/>
          <w:highlight w:val="none"/>
        </w:rPr>
        <w:fldChar w:fldCharType="begin"/>
      </w:r>
      <w:r>
        <w:rPr>
          <w:color w:val="auto"/>
          <w:highlight w:val="none"/>
        </w:rPr>
        <w:instrText xml:space="preserve"> HYPERLINK "http://baike.baidu.com/view/366366.htm" </w:instrText>
      </w:r>
      <w:r>
        <w:rPr>
          <w:color w:val="auto"/>
          <w:highlight w:val="none"/>
        </w:rPr>
        <w:fldChar w:fldCharType="separate"/>
      </w:r>
      <w:r>
        <w:rPr>
          <w:rFonts w:ascii="Times New Roman" w:hAnsi="Times New Roman"/>
          <w:bCs/>
          <w:color w:val="auto"/>
          <w:szCs w:val="24"/>
          <w:highlight w:val="none"/>
        </w:rPr>
        <w:t>资本增值收益</w:t>
      </w:r>
      <w:r>
        <w:rPr>
          <w:rFonts w:ascii="Times New Roman" w:hAnsi="Times New Roman"/>
          <w:bCs/>
          <w:color w:val="auto"/>
          <w:szCs w:val="24"/>
          <w:highlight w:val="none"/>
        </w:rPr>
        <w:fldChar w:fldCharType="end"/>
      </w:r>
      <w:r>
        <w:rPr>
          <w:rFonts w:ascii="Times New Roman" w:hAnsi="Times New Roman"/>
          <w:bCs/>
          <w:color w:val="auto"/>
          <w:szCs w:val="24"/>
          <w:highlight w:val="none"/>
        </w:rPr>
        <w:t>的投资机构。</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天使投资</w:t>
      </w:r>
      <w:r>
        <w:rPr>
          <w:rFonts w:ascii="Times New Roman" w:hAnsi="Times New Roman"/>
          <w:bCs/>
          <w:color w:val="auto"/>
          <w:highlight w:val="none"/>
        </w:rPr>
        <w:t>是指对已经起步但尚未完成基本产品模型、尚未验证商业模式的早期项目进行的投资，一般由个人出资协助具有专门技术或独特概念但缺少自有资金的创业家进行创业，并承担创业中的高风险和享受创业成功后的高收益，或由自由投资者或非正式风险投资机构对原创项目构思或小型初创企业进行一次性前期投资。天使投资是风险投资的一种特殊形式。</w:t>
      </w:r>
    </w:p>
    <w:p>
      <w:pPr>
        <w:adjustRightInd w:val="0"/>
        <w:snapToGrid w:val="0"/>
        <w:spacing w:line="400" w:lineRule="exact"/>
        <w:ind w:firstLine="420" w:firstLineChars="200"/>
        <w:rPr>
          <w:rFonts w:ascii="Times New Roman" w:hAnsi="Times New Roman" w:eastAsia="黑体"/>
          <w:bCs/>
          <w:color w:val="auto"/>
          <w:szCs w:val="21"/>
          <w:highlight w:val="none"/>
        </w:rPr>
      </w:pPr>
      <w:r>
        <w:rPr>
          <w:rFonts w:ascii="Times New Roman" w:hAnsi="Times New Roman" w:eastAsia="黑体"/>
          <w:bCs/>
          <w:color w:val="auto"/>
          <w:szCs w:val="21"/>
          <w:highlight w:val="none"/>
        </w:rPr>
        <w:t>A轮融资</w:t>
      </w:r>
      <w:r>
        <w:rPr>
          <w:rFonts w:ascii="Times New Roman" w:hAnsi="Times New Roman" w:eastAsia="宋体"/>
          <w:bCs/>
          <w:color w:val="auto"/>
          <w:szCs w:val="21"/>
          <w:highlight w:val="none"/>
        </w:rPr>
        <w:t>主要</w:t>
      </w:r>
      <w:r>
        <w:rPr>
          <w:rFonts w:ascii="Times New Roman" w:hAnsi="Times New Roman"/>
          <w:bCs/>
          <w:color w:val="auto"/>
          <w:szCs w:val="21"/>
          <w:highlight w:val="none"/>
        </w:rPr>
        <w:t>是指对已具备基本产品模型的早中期项目进行的投资，一般由风险投资机构出资，在完善产品模型的基础上，满足商业模式验证的需求。</w:t>
      </w:r>
    </w:p>
    <w:p>
      <w:pPr>
        <w:spacing w:line="400" w:lineRule="exact"/>
        <w:ind w:firstLine="420" w:firstLineChars="200"/>
        <w:rPr>
          <w:rFonts w:ascii="Times New Roman" w:hAnsi="Times New Roman"/>
          <w:bCs/>
          <w:color w:val="auto"/>
          <w:highlight w:val="none"/>
        </w:rPr>
      </w:pPr>
      <w:r>
        <w:rPr>
          <w:rFonts w:ascii="Times New Roman" w:hAnsi="Times New Roman" w:eastAsia="黑体"/>
          <w:bCs/>
          <w:color w:val="auto"/>
          <w:szCs w:val="21"/>
          <w:highlight w:val="none"/>
        </w:rPr>
        <w:t>B轮融资</w:t>
      </w:r>
      <w:r>
        <w:rPr>
          <w:rFonts w:ascii="Times New Roman" w:hAnsi="Times New Roman"/>
          <w:bCs/>
          <w:color w:val="auto"/>
          <w:highlight w:val="none"/>
        </w:rPr>
        <w:t>主要是指对商业模式已被充分验证，业务快速扩张的中期项目进行的投资，一般由风险投资机构或私募基金机构出资，以期迅速完成业务扩张。</w:t>
      </w:r>
    </w:p>
    <w:p>
      <w:pPr>
        <w:adjustRightInd w:val="0"/>
        <w:snapToGrid w:val="0"/>
        <w:spacing w:line="400" w:lineRule="exact"/>
        <w:ind w:firstLine="420" w:firstLineChars="200"/>
        <w:rPr>
          <w:rFonts w:ascii="Times New Roman" w:hAnsi="Times New Roman"/>
          <w:bCs/>
          <w:color w:val="auto"/>
          <w:highlight w:val="none"/>
        </w:rPr>
      </w:pPr>
      <w:r>
        <w:rPr>
          <w:rFonts w:ascii="Times New Roman" w:hAnsi="Times New Roman" w:eastAsia="黑体"/>
          <w:bCs/>
          <w:color w:val="auto"/>
          <w:szCs w:val="21"/>
          <w:highlight w:val="none"/>
        </w:rPr>
        <w:t>C轮融资</w:t>
      </w:r>
      <w:r>
        <w:rPr>
          <w:rFonts w:ascii="Times New Roman" w:hAnsi="Times New Roman"/>
          <w:bCs/>
          <w:color w:val="auto"/>
          <w:highlight w:val="none"/>
        </w:rPr>
        <w:t>主要是指对已形成规模化盈利能力，在行业内有主导或领导地位的中后期项目进行的投资，一般由私募基金机构出资，补全商业闭环，开始为上市做准备。</w:t>
      </w:r>
    </w:p>
    <w:p>
      <w:pPr>
        <w:pStyle w:val="2"/>
        <w:spacing w:after="0" w:line="400" w:lineRule="exact"/>
        <w:ind w:firstLine="420" w:firstLineChars="200"/>
        <w:rPr>
          <w:rFonts w:ascii="Times New Roman" w:hAnsi="Times New Roman"/>
          <w:color w:val="auto"/>
          <w:highlight w:val="none"/>
        </w:rPr>
      </w:pPr>
      <w:r>
        <w:rPr>
          <w:rFonts w:ascii="Times New Roman" w:hAnsi="Times New Roman" w:eastAsia="黑体"/>
          <w:color w:val="auto"/>
          <w:highlight w:val="none"/>
        </w:rPr>
        <w:t>当年获得创业风险投资机构的风险投资额</w:t>
      </w:r>
      <w:r>
        <w:rPr>
          <w:rFonts w:ascii="Times New Roman" w:hAnsi="Times New Roman"/>
          <w:color w:val="auto"/>
          <w:highlight w:val="none"/>
        </w:rPr>
        <w:t>填报报告期当年企业获得创业风险投资机构的投资额。</w:t>
      </w:r>
    </w:p>
    <w:p>
      <w:pPr>
        <w:pStyle w:val="3"/>
        <w:rPr>
          <w:rFonts w:ascii="Times New Roman" w:hAnsi="Times New Roman"/>
          <w:bCs w:val="0"/>
          <w:color w:val="auto"/>
          <w:sz w:val="28"/>
          <w:szCs w:val="28"/>
          <w:highlight w:val="none"/>
        </w:rPr>
      </w:pPr>
      <w:r>
        <w:rPr>
          <w:rFonts w:ascii="Times New Roman" w:hAnsi="Times New Roman"/>
          <w:b w:val="0"/>
          <w:color w:val="auto"/>
          <w:sz w:val="28"/>
          <w:szCs w:val="28"/>
          <w:highlight w:val="none"/>
        </w:rPr>
        <w:br w:type="page"/>
      </w:r>
      <w:bookmarkStart w:id="36" w:name="_Toc121734442"/>
      <w:r>
        <w:rPr>
          <w:rFonts w:ascii="Times New Roman" w:hAnsi="Times New Roman"/>
          <w:bCs w:val="0"/>
          <w:color w:val="auto"/>
          <w:sz w:val="28"/>
          <w:szCs w:val="28"/>
          <w:highlight w:val="none"/>
        </w:rPr>
        <w:t>人员概况</w:t>
      </w:r>
      <w:bookmarkEnd w:id="36"/>
    </w:p>
    <w:tbl>
      <w:tblPr>
        <w:tblStyle w:val="9"/>
        <w:tblW w:w="9475" w:type="dxa"/>
        <w:jc w:val="center"/>
        <w:tblLayout w:type="fixed"/>
        <w:tblCellMar>
          <w:top w:w="0" w:type="dxa"/>
          <w:left w:w="108" w:type="dxa"/>
          <w:bottom w:w="0" w:type="dxa"/>
          <w:right w:w="108" w:type="dxa"/>
        </w:tblCellMar>
      </w:tblPr>
      <w:tblGrid>
        <w:gridCol w:w="3329"/>
        <w:gridCol w:w="3165"/>
        <w:gridCol w:w="1035"/>
        <w:gridCol w:w="1946"/>
      </w:tblGrid>
      <w:tr>
        <w:tblPrEx>
          <w:tblCellMar>
            <w:top w:w="0" w:type="dxa"/>
            <w:left w:w="108" w:type="dxa"/>
            <w:bottom w:w="0" w:type="dxa"/>
            <w:right w:w="108" w:type="dxa"/>
          </w:tblCellMar>
        </w:tblPrEx>
        <w:trPr>
          <w:trHeight w:val="283" w:hRule="atLeast"/>
          <w:jc w:val="center"/>
        </w:trPr>
        <w:tc>
          <w:tcPr>
            <w:tcW w:w="6494" w:type="dxa"/>
            <w:gridSpan w:val="2"/>
            <w:noWrap w:val="0"/>
            <w:vAlign w:val="center"/>
          </w:tcPr>
          <w:p>
            <w:pPr>
              <w:snapToGrid w:val="0"/>
              <w:spacing w:line="240" w:lineRule="exact"/>
              <w:rPr>
                <w:rFonts w:ascii="Times New Roman" w:hAnsi="Times New Roman"/>
                <w:bCs/>
                <w:color w:val="auto"/>
                <w:sz w:val="18"/>
                <w:szCs w:val="24"/>
                <w:highlight w:val="none"/>
              </w:rPr>
            </w:pPr>
          </w:p>
        </w:tc>
        <w:tc>
          <w:tcPr>
            <w:tcW w:w="1035" w:type="dxa"/>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表号：</w:t>
            </w:r>
          </w:p>
        </w:tc>
        <w:tc>
          <w:tcPr>
            <w:tcW w:w="1946" w:type="dxa"/>
            <w:noWrap w:val="0"/>
            <w:vAlign w:val="center"/>
          </w:tcPr>
          <w:p>
            <w:pPr>
              <w:spacing w:line="240" w:lineRule="exact"/>
              <w:jc w:val="right"/>
              <w:rPr>
                <w:rFonts w:ascii="Times New Roman" w:hAnsi="Times New Roman"/>
                <w:bCs/>
                <w:color w:val="auto"/>
                <w:sz w:val="18"/>
                <w:szCs w:val="24"/>
                <w:highlight w:val="none"/>
              </w:rPr>
            </w:pPr>
            <w:r>
              <w:rPr>
                <w:rFonts w:ascii="Times New Roman" w:hAnsi="Times New Roman"/>
                <w:bCs/>
                <w:color w:val="auto"/>
                <w:sz w:val="18"/>
                <w:szCs w:val="18"/>
                <w:highlight w:val="none"/>
              </w:rPr>
              <w:t>ＧＱ－００３</w:t>
            </w:r>
            <w:r>
              <w:rPr>
                <w:rFonts w:ascii="Times New Roman" w:hAnsi="Times New Roman"/>
                <w:bCs/>
                <w:color w:val="auto"/>
                <w:sz w:val="18"/>
                <w:highlight w:val="none"/>
              </w:rPr>
              <w:t>表</w:t>
            </w:r>
          </w:p>
        </w:tc>
      </w:tr>
      <w:tr>
        <w:tblPrEx>
          <w:tblCellMar>
            <w:top w:w="0" w:type="dxa"/>
            <w:left w:w="108" w:type="dxa"/>
            <w:bottom w:w="0" w:type="dxa"/>
            <w:right w:w="108" w:type="dxa"/>
          </w:tblCellMar>
        </w:tblPrEx>
        <w:trPr>
          <w:trHeight w:val="283" w:hRule="atLeast"/>
          <w:jc w:val="center"/>
        </w:trPr>
        <w:tc>
          <w:tcPr>
            <w:tcW w:w="6494" w:type="dxa"/>
            <w:gridSpan w:val="2"/>
            <w:noWrap w:val="0"/>
            <w:vAlign w:val="center"/>
          </w:tcPr>
          <w:p>
            <w:pPr>
              <w:snapToGrid w:val="0"/>
              <w:spacing w:line="240" w:lineRule="exact"/>
              <w:rPr>
                <w:rFonts w:ascii="Times New Roman" w:hAnsi="Times New Roman"/>
                <w:bCs/>
                <w:color w:val="auto"/>
                <w:sz w:val="18"/>
                <w:szCs w:val="24"/>
                <w:highlight w:val="none"/>
              </w:rPr>
            </w:pPr>
          </w:p>
        </w:tc>
        <w:tc>
          <w:tcPr>
            <w:tcW w:w="1035" w:type="dxa"/>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制定机关：</w:t>
            </w:r>
          </w:p>
        </w:tc>
        <w:tc>
          <w:tcPr>
            <w:tcW w:w="1946" w:type="dxa"/>
            <w:noWrap w:val="0"/>
            <w:vAlign w:val="center"/>
          </w:tcPr>
          <w:p>
            <w:pPr>
              <w:spacing w:line="240" w:lineRule="exact"/>
              <w:jc w:val="right"/>
              <w:rPr>
                <w:rFonts w:ascii="Times New Roman" w:hAnsi="Times New Roman"/>
                <w:bCs/>
                <w:color w:val="auto"/>
                <w:sz w:val="18"/>
                <w:szCs w:val="24"/>
                <w:highlight w:val="none"/>
              </w:rPr>
            </w:pPr>
            <w:r>
              <w:rPr>
                <w:rFonts w:hint="eastAsia" w:ascii="Times New Roman" w:hAnsi="Times New Roman"/>
                <w:bCs/>
                <w:color w:val="auto"/>
                <w:sz w:val="18"/>
                <w:highlight w:val="none"/>
                <w:lang w:val="en-US" w:eastAsia="zh-CN"/>
              </w:rPr>
              <w:t>工业和信息化</w:t>
            </w:r>
            <w:r>
              <w:rPr>
                <w:rFonts w:ascii="Times New Roman" w:hAnsi="Times New Roman"/>
                <w:bCs/>
                <w:color w:val="auto"/>
                <w:sz w:val="18"/>
                <w:highlight w:val="none"/>
              </w:rPr>
              <w:t>部</w:t>
            </w:r>
          </w:p>
        </w:tc>
      </w:tr>
      <w:tr>
        <w:tblPrEx>
          <w:tblCellMar>
            <w:top w:w="0" w:type="dxa"/>
            <w:left w:w="108" w:type="dxa"/>
            <w:bottom w:w="0" w:type="dxa"/>
            <w:right w:w="108" w:type="dxa"/>
          </w:tblCellMar>
        </w:tblPrEx>
        <w:trPr>
          <w:trHeight w:val="283" w:hRule="atLeast"/>
          <w:jc w:val="center"/>
        </w:trPr>
        <w:tc>
          <w:tcPr>
            <w:tcW w:w="6494" w:type="dxa"/>
            <w:gridSpan w:val="2"/>
            <w:noWrap w:val="0"/>
            <w:vAlign w:val="center"/>
          </w:tcPr>
          <w:p>
            <w:pPr>
              <w:snapToGrid w:val="0"/>
              <w:spacing w:line="240" w:lineRule="exact"/>
              <w:rPr>
                <w:rFonts w:ascii="宋体" w:hAnsi="宋体"/>
                <w:bCs/>
                <w:color w:val="auto"/>
                <w:sz w:val="18"/>
                <w:szCs w:val="24"/>
                <w:highlight w:val="none"/>
              </w:rPr>
            </w:pPr>
          </w:p>
        </w:tc>
        <w:tc>
          <w:tcPr>
            <w:tcW w:w="1035" w:type="dxa"/>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批准机关：</w:t>
            </w:r>
          </w:p>
        </w:tc>
        <w:tc>
          <w:tcPr>
            <w:tcW w:w="1946" w:type="dxa"/>
            <w:noWrap w:val="0"/>
            <w:vAlign w:val="center"/>
          </w:tcPr>
          <w:p>
            <w:pPr>
              <w:spacing w:line="240" w:lineRule="exact"/>
              <w:jc w:val="right"/>
              <w:rPr>
                <w:rFonts w:ascii="Times New Roman" w:hAnsi="Times New Roman"/>
                <w:bCs/>
                <w:color w:val="auto"/>
                <w:sz w:val="18"/>
                <w:szCs w:val="24"/>
                <w:highlight w:val="none"/>
              </w:rPr>
            </w:pPr>
            <w:r>
              <w:rPr>
                <w:rFonts w:ascii="Times New Roman" w:hAnsi="Times New Roman"/>
                <w:bCs/>
                <w:color w:val="auto"/>
                <w:sz w:val="18"/>
                <w:highlight w:val="none"/>
              </w:rPr>
              <w:t>国家统计局</w:t>
            </w:r>
          </w:p>
        </w:tc>
      </w:tr>
      <w:tr>
        <w:tblPrEx>
          <w:tblCellMar>
            <w:top w:w="0" w:type="dxa"/>
            <w:left w:w="108" w:type="dxa"/>
            <w:bottom w:w="0" w:type="dxa"/>
            <w:right w:w="108" w:type="dxa"/>
          </w:tblCellMar>
        </w:tblPrEx>
        <w:trPr>
          <w:trHeight w:val="283" w:hRule="atLeast"/>
          <w:jc w:val="center"/>
        </w:trPr>
        <w:tc>
          <w:tcPr>
            <w:tcW w:w="6494" w:type="dxa"/>
            <w:gridSpan w:val="2"/>
            <w:noWrap w:val="0"/>
            <w:vAlign w:val="center"/>
          </w:tcPr>
          <w:p>
            <w:pPr>
              <w:snapToGrid w:val="0"/>
              <w:spacing w:line="240" w:lineRule="exact"/>
              <w:rPr>
                <w:rFonts w:ascii="宋体" w:hAnsi="宋体"/>
                <w:bCs/>
                <w:color w:val="auto"/>
                <w:sz w:val="18"/>
                <w:szCs w:val="24"/>
                <w:highlight w:val="none"/>
              </w:rPr>
            </w:pPr>
            <w:r>
              <w:rPr>
                <w:rFonts w:ascii="宋体" w:hAnsi="宋体"/>
                <w:bCs/>
                <w:color w:val="auto"/>
                <w:sz w:val="18"/>
                <w:szCs w:val="24"/>
                <w:highlight w:val="none"/>
              </w:rPr>
              <w:t>统一社会信用代码</w:t>
            </w:r>
            <w:r>
              <w:rPr>
                <w:rFonts w:ascii="宋体" w:hAnsi="宋体"/>
                <w:bCs/>
                <w:color w:val="auto"/>
                <w:sz w:val="18"/>
                <w:szCs w:val="18"/>
                <w:highlight w:val="none"/>
              </w:rPr>
              <w:t>□□□□□□□□□□□□□□□□□□</w:t>
            </w:r>
          </w:p>
        </w:tc>
        <w:tc>
          <w:tcPr>
            <w:tcW w:w="1035" w:type="dxa"/>
            <w:noWrap w:val="0"/>
            <w:vAlign w:val="center"/>
          </w:tcPr>
          <w:p>
            <w:pPr>
              <w:pStyle w:val="13"/>
              <w:tabs>
                <w:tab w:val="left" w:pos="730"/>
              </w:tabs>
              <w:autoSpaceDE/>
              <w:autoSpaceDN/>
              <w:adjustRightInd/>
              <w:spacing w:before="14" w:line="240" w:lineRule="exact"/>
              <w:jc w:val="both"/>
              <w:rPr>
                <w:rFonts w:ascii="Times New Roman" w:hAnsi="Times New Roman"/>
                <w:bCs/>
                <w:color w:val="auto"/>
                <w:sz w:val="18"/>
                <w:szCs w:val="18"/>
                <w:highlight w:val="none"/>
              </w:rPr>
            </w:pPr>
            <w:r>
              <w:rPr>
                <w:rFonts w:ascii="Times New Roman" w:hAnsi="Times New Roman"/>
                <w:bCs/>
                <w:color w:val="auto"/>
                <w:sz w:val="18"/>
                <w:szCs w:val="18"/>
                <w:highlight w:val="none"/>
              </w:rPr>
              <w:t>批准文号：</w:t>
            </w:r>
          </w:p>
        </w:tc>
        <w:tc>
          <w:tcPr>
            <w:tcW w:w="1946" w:type="dxa"/>
            <w:noWrap w:val="0"/>
            <w:vAlign w:val="center"/>
          </w:tcPr>
          <w:p>
            <w:pPr>
              <w:spacing w:line="240" w:lineRule="exact"/>
              <w:jc w:val="right"/>
              <w:rPr>
                <w:rFonts w:ascii="Times New Roman" w:hAnsi="Times New Roman"/>
                <w:bCs/>
                <w:color w:val="auto"/>
                <w:sz w:val="18"/>
                <w:szCs w:val="18"/>
                <w:highlight w:val="none"/>
              </w:rPr>
            </w:pPr>
            <w:r>
              <w:rPr>
                <w:rFonts w:ascii="Times New Roman" w:hAnsi="Times New Roman"/>
                <w:bCs/>
                <w:color w:val="auto"/>
                <w:sz w:val="18"/>
                <w:highlight w:val="none"/>
              </w:rPr>
              <w:t>国统制〔202</w:t>
            </w:r>
            <w:r>
              <w:rPr>
                <w:rFonts w:hint="eastAsia" w:ascii="Times New Roman" w:hAnsi="Times New Roman"/>
                <w:bCs/>
                <w:color w:val="auto"/>
                <w:sz w:val="18"/>
                <w:highlight w:val="none"/>
                <w:lang w:val="en-US" w:eastAsia="zh-CN"/>
              </w:rPr>
              <w:t>4</w:t>
            </w:r>
            <w:r>
              <w:rPr>
                <w:rFonts w:ascii="Times New Roman" w:hAnsi="Times New Roman"/>
                <w:bCs/>
                <w:color w:val="auto"/>
                <w:sz w:val="18"/>
                <w:highlight w:val="none"/>
              </w:rPr>
              <w:t>〕</w:t>
            </w:r>
            <w:r>
              <w:rPr>
                <w:rFonts w:hint="eastAsia" w:ascii="Times New Roman" w:hAnsi="Times New Roman"/>
                <w:bCs/>
                <w:color w:val="auto"/>
                <w:sz w:val="18"/>
                <w:highlight w:val="none"/>
                <w:lang w:val="en-US" w:eastAsia="zh-CN"/>
              </w:rPr>
              <w:t>187</w:t>
            </w:r>
            <w:r>
              <w:rPr>
                <w:rFonts w:ascii="Times New Roman" w:hAnsi="Times New Roman"/>
                <w:bCs/>
                <w:color w:val="auto"/>
                <w:sz w:val="18"/>
                <w:highlight w:val="none"/>
              </w:rPr>
              <w:t>号</w:t>
            </w:r>
          </w:p>
        </w:tc>
      </w:tr>
      <w:tr>
        <w:tblPrEx>
          <w:tblCellMar>
            <w:top w:w="0" w:type="dxa"/>
            <w:left w:w="108" w:type="dxa"/>
            <w:bottom w:w="0" w:type="dxa"/>
            <w:right w:w="108" w:type="dxa"/>
          </w:tblCellMar>
        </w:tblPrEx>
        <w:trPr>
          <w:trHeight w:val="283" w:hRule="atLeast"/>
          <w:jc w:val="center"/>
        </w:trPr>
        <w:tc>
          <w:tcPr>
            <w:tcW w:w="3329" w:type="dxa"/>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企业（单位）详细名称：</w:t>
            </w:r>
          </w:p>
        </w:tc>
        <w:tc>
          <w:tcPr>
            <w:tcW w:w="3165" w:type="dxa"/>
            <w:noWrap w:val="0"/>
            <w:vAlign w:val="center"/>
          </w:tcPr>
          <w:p>
            <w:pPr>
              <w:snapToGrid w:val="0"/>
              <w:spacing w:line="24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２０</w:t>
            </w:r>
            <w:r>
              <w:rPr>
                <w:rFonts w:hint="eastAsia"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rPr>
              <w:t>年</w:t>
            </w:r>
          </w:p>
        </w:tc>
        <w:tc>
          <w:tcPr>
            <w:tcW w:w="1035" w:type="dxa"/>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有效期至：</w:t>
            </w:r>
          </w:p>
        </w:tc>
        <w:tc>
          <w:tcPr>
            <w:tcW w:w="1946" w:type="dxa"/>
            <w:noWrap w:val="0"/>
            <w:vAlign w:val="center"/>
          </w:tcPr>
          <w:p>
            <w:pPr>
              <w:spacing w:line="240" w:lineRule="exact"/>
              <w:jc w:val="right"/>
              <w:rPr>
                <w:rFonts w:ascii="Times New Roman" w:hAnsi="Times New Roman"/>
                <w:bCs/>
                <w:color w:val="auto"/>
                <w:sz w:val="18"/>
                <w:szCs w:val="18"/>
                <w:highlight w:val="none"/>
              </w:rPr>
            </w:pPr>
            <w:r>
              <w:rPr>
                <w:rFonts w:hint="eastAsia" w:ascii="Times New Roman" w:hAnsi="Times New Roman"/>
                <w:bCs/>
                <w:color w:val="auto"/>
                <w:sz w:val="18"/>
                <w:szCs w:val="18"/>
                <w:highlight w:val="none"/>
                <w:lang w:val="en-US" w:eastAsia="zh-CN"/>
              </w:rPr>
              <w:t>2027</w:t>
            </w:r>
            <w:r>
              <w:rPr>
                <w:rFonts w:ascii="Times New Roman" w:hAnsi="Times New Roman"/>
                <w:bCs/>
                <w:color w:val="auto"/>
                <w:sz w:val="18"/>
                <w:highlight w:val="none"/>
              </w:rPr>
              <w:t>年</w:t>
            </w:r>
            <w:r>
              <w:rPr>
                <w:rFonts w:hint="eastAsia" w:ascii="Times New Roman" w:hAnsi="Times New Roman"/>
                <w:bCs/>
                <w:color w:val="auto"/>
                <w:sz w:val="18"/>
                <w:highlight w:val="none"/>
                <w:lang w:val="en-US" w:eastAsia="zh-CN"/>
              </w:rPr>
              <w:t>12</w:t>
            </w:r>
            <w:r>
              <w:rPr>
                <w:rFonts w:ascii="Times New Roman" w:hAnsi="Times New Roman"/>
                <w:bCs/>
                <w:color w:val="auto"/>
                <w:sz w:val="18"/>
                <w:highlight w:val="none"/>
              </w:rPr>
              <w:t>月</w:t>
            </w:r>
          </w:p>
        </w:tc>
      </w:tr>
    </w:tbl>
    <w:p>
      <w:pPr>
        <w:rPr>
          <w:rFonts w:ascii="Times New Roman" w:hAnsi="Times New Roman"/>
          <w:bCs/>
          <w:vanish/>
          <w:color w:val="auto"/>
          <w:szCs w:val="24"/>
          <w:highlight w:val="none"/>
        </w:rPr>
      </w:pPr>
    </w:p>
    <w:tbl>
      <w:tblPr>
        <w:tblStyle w:val="9"/>
        <w:tblpPr w:leftFromText="180" w:rightFromText="180" w:vertAnchor="text" w:horzAnchor="margin" w:tblpXSpec="center" w:tblpY="21"/>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8"/>
        <w:gridCol w:w="1418"/>
        <w:gridCol w:w="1275"/>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8" w:space="0"/>
              <w:left w:val="nil"/>
              <w:bottom w:val="single" w:color="auto" w:sz="2" w:space="0"/>
              <w:right w:val="single" w:color="auto" w:sz="4" w:space="0"/>
            </w:tcBorders>
            <w:noWrap w:val="0"/>
            <w:vAlign w:val="center"/>
          </w:tcPr>
          <w:p>
            <w:pPr>
              <w:adjustRightInd w:val="0"/>
              <w:snapToGrid w:val="0"/>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指标名称</w:t>
            </w:r>
          </w:p>
        </w:tc>
        <w:tc>
          <w:tcPr>
            <w:tcW w:w="1418" w:type="dxa"/>
            <w:tcBorders>
              <w:top w:val="single" w:color="auto" w:sz="8" w:space="0"/>
              <w:left w:val="single" w:color="auto" w:sz="4" w:space="0"/>
              <w:bottom w:val="single" w:color="auto" w:sz="2" w:space="0"/>
              <w:right w:val="nil"/>
            </w:tcBorders>
            <w:noWrap w:val="0"/>
            <w:vAlign w:val="center"/>
          </w:tcPr>
          <w:p>
            <w:pPr>
              <w:adjustRightInd w:val="0"/>
              <w:snapToGrid w:val="0"/>
              <w:spacing w:line="280" w:lineRule="exact"/>
              <w:jc w:val="center"/>
              <w:rPr>
                <w:rFonts w:ascii="Times New Roman" w:hAnsi="Times New Roman"/>
                <w:bCs/>
                <w:color w:val="auto"/>
                <w:szCs w:val="24"/>
                <w:highlight w:val="none"/>
              </w:rPr>
            </w:pPr>
            <w:r>
              <w:rPr>
                <w:rFonts w:ascii="Times New Roman" w:hAnsi="Times New Roman"/>
                <w:bCs/>
                <w:color w:val="auto"/>
                <w:sz w:val="18"/>
                <w:szCs w:val="24"/>
                <w:highlight w:val="none"/>
              </w:rPr>
              <w:t>计量单位</w:t>
            </w:r>
          </w:p>
        </w:tc>
        <w:tc>
          <w:tcPr>
            <w:tcW w:w="1275" w:type="dxa"/>
            <w:tcBorders>
              <w:top w:val="single" w:color="auto" w:sz="8" w:space="0"/>
              <w:left w:val="single" w:color="auto" w:sz="4" w:space="0"/>
              <w:bottom w:val="single" w:color="auto" w:sz="2" w:space="0"/>
              <w:right w:val="nil"/>
            </w:tcBorders>
            <w:noWrap w:val="0"/>
            <w:vAlign w:val="center"/>
          </w:tcPr>
          <w:p>
            <w:pPr>
              <w:adjustRightInd w:val="0"/>
              <w:snapToGrid w:val="0"/>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代码</w:t>
            </w:r>
          </w:p>
        </w:tc>
        <w:tc>
          <w:tcPr>
            <w:tcW w:w="1509" w:type="dxa"/>
            <w:tcBorders>
              <w:top w:val="single" w:color="auto" w:sz="8" w:space="0"/>
              <w:left w:val="single" w:color="auto" w:sz="4" w:space="0"/>
              <w:bottom w:val="single" w:color="auto" w:sz="2" w:space="0"/>
              <w:right w:val="nil"/>
            </w:tcBorders>
            <w:noWrap w:val="0"/>
            <w:vAlign w:val="center"/>
          </w:tcPr>
          <w:p>
            <w:pPr>
              <w:adjustRightInd w:val="0"/>
              <w:snapToGrid w:val="0"/>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2" w:space="0"/>
              <w:left w:val="nil"/>
              <w:bottom w:val="single" w:color="auto" w:sz="4" w:space="0"/>
              <w:right w:val="single" w:color="auto" w:sz="4" w:space="0"/>
            </w:tcBorders>
            <w:noWrap w:val="0"/>
            <w:vAlign w:val="center"/>
          </w:tcPr>
          <w:p>
            <w:pPr>
              <w:adjustRightInd w:val="0"/>
              <w:snapToGrid w:val="0"/>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甲</w:t>
            </w:r>
          </w:p>
        </w:tc>
        <w:tc>
          <w:tcPr>
            <w:tcW w:w="1418" w:type="dxa"/>
            <w:tcBorders>
              <w:top w:val="single" w:color="auto" w:sz="2"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r>
              <w:rPr>
                <w:rFonts w:ascii="Times New Roman" w:hAnsi="Times New Roman"/>
                <w:bCs/>
                <w:color w:val="auto"/>
                <w:sz w:val="18"/>
                <w:szCs w:val="24"/>
                <w:highlight w:val="none"/>
              </w:rPr>
              <w:t>乙</w:t>
            </w:r>
          </w:p>
        </w:tc>
        <w:tc>
          <w:tcPr>
            <w:tcW w:w="1275" w:type="dxa"/>
            <w:tcBorders>
              <w:top w:val="single" w:color="auto" w:sz="2"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丙</w:t>
            </w:r>
          </w:p>
        </w:tc>
        <w:tc>
          <w:tcPr>
            <w:tcW w:w="1509" w:type="dxa"/>
            <w:tcBorders>
              <w:top w:val="single" w:color="auto" w:sz="2"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left w:val="nil"/>
              <w:bottom w:val="single" w:color="auto" w:sz="4" w:space="0"/>
              <w:right w:val="single" w:color="auto" w:sz="4" w:space="0"/>
            </w:tcBorders>
            <w:noWrap w:val="0"/>
            <w:vAlign w:val="center"/>
          </w:tcPr>
          <w:p>
            <w:pPr>
              <w:adjustRightInd w:val="0"/>
              <w:snapToGrid w:val="0"/>
              <w:spacing w:line="280" w:lineRule="exact"/>
              <w:jc w:val="both"/>
              <w:rPr>
                <w:rFonts w:ascii="Times New Roman" w:hAnsi="Times New Roman"/>
                <w:b/>
                <w:color w:val="auto"/>
                <w:sz w:val="18"/>
                <w:szCs w:val="24"/>
                <w:highlight w:val="none"/>
              </w:rPr>
            </w:pPr>
            <w:r>
              <w:rPr>
                <w:rFonts w:ascii="Times New Roman" w:hAnsi="Times New Roman"/>
                <w:b/>
                <w:color w:val="auto"/>
                <w:sz w:val="18"/>
                <w:szCs w:val="24"/>
                <w:highlight w:val="none"/>
              </w:rPr>
              <w:t>一、从业人员数</w:t>
            </w:r>
          </w:p>
        </w:tc>
        <w:tc>
          <w:tcPr>
            <w:tcW w:w="1418" w:type="dxa"/>
            <w:tcBorders>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c>
          <w:tcPr>
            <w:tcW w:w="1275" w:type="dxa"/>
            <w:tcBorders>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c>
          <w:tcPr>
            <w:tcW w:w="1509" w:type="dxa"/>
            <w:tcBorders>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both"/>
              <w:rPr>
                <w:rFonts w:cs="Calibri"/>
                <w:bCs/>
                <w:color w:val="auto"/>
                <w:sz w:val="18"/>
                <w:szCs w:val="24"/>
                <w:highlight w:val="none"/>
              </w:rPr>
            </w:pPr>
            <w:r>
              <w:rPr>
                <w:rFonts w:cs="Calibri"/>
                <w:bCs/>
                <w:color w:val="auto"/>
                <w:sz w:val="18"/>
                <w:szCs w:val="24"/>
                <w:highlight w:val="none"/>
              </w:rPr>
              <w:t>从业人员期末人数</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QD01</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360" w:firstLineChars="200"/>
              <w:jc w:val="both"/>
              <w:rPr>
                <w:rFonts w:cs="Calibri"/>
                <w:bCs/>
                <w:color w:val="auto"/>
                <w:sz w:val="18"/>
                <w:szCs w:val="24"/>
                <w:highlight w:val="none"/>
              </w:rPr>
            </w:pPr>
            <w:r>
              <w:rPr>
                <w:rFonts w:cs="Calibri"/>
                <w:bCs/>
                <w:color w:val="auto"/>
                <w:sz w:val="18"/>
                <w:szCs w:val="24"/>
                <w:highlight w:val="none"/>
              </w:rPr>
              <w:t>其中：留学归国人员</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z w:val="18"/>
                <w:szCs w:val="18"/>
                <w:highlight w:val="none"/>
              </w:rPr>
              <w:t>03≤</w:t>
            </w:r>
            <w:r>
              <w:rPr>
                <w:rFonts w:cs="Calibri"/>
                <w:bCs/>
                <w:color w:val="auto"/>
                <w:sz w:val="18"/>
                <w:szCs w:val="24"/>
                <w:highlight w:val="none"/>
              </w:rPr>
              <w:t>QD</w:t>
            </w:r>
            <w:r>
              <w:rPr>
                <w:rFonts w:hint="eastAsia" w:ascii="Times New Roman" w:hAnsi="Times New Roman" w:eastAsia="宋体" w:cs="Times New Roman"/>
                <w:bCs/>
                <w:color w:val="auto"/>
                <w:sz w:val="18"/>
                <w:szCs w:val="18"/>
                <w:highlight w:val="none"/>
              </w:rPr>
              <w:t>01）</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QD03</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344" w:firstLineChars="200"/>
              <w:jc w:val="both"/>
              <w:rPr>
                <w:rFonts w:cs="Calibri"/>
                <w:bCs/>
                <w:color w:val="auto"/>
                <w:spacing w:val="-4"/>
                <w:sz w:val="18"/>
                <w:szCs w:val="24"/>
                <w:highlight w:val="none"/>
              </w:rPr>
            </w:pPr>
            <w:r>
              <w:rPr>
                <w:rFonts w:cs="Calibri"/>
                <w:bCs/>
                <w:color w:val="auto"/>
                <w:spacing w:val="-4"/>
                <w:sz w:val="18"/>
                <w:szCs w:val="24"/>
                <w:highlight w:val="none"/>
              </w:rPr>
              <w:t>其中：外籍常住人员</w:t>
            </w:r>
            <w:r>
              <w:rPr>
                <w:rFonts w:hint="eastAsia" w:ascii="Times New Roman" w:hAnsi="Times New Roman" w:eastAsia="宋体" w:cs="Times New Roman"/>
                <w:bCs/>
                <w:color w:val="auto"/>
                <w:spacing w:val="0"/>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pacing w:val="0"/>
                <w:sz w:val="18"/>
                <w:szCs w:val="18"/>
                <w:highlight w:val="none"/>
              </w:rPr>
              <w:t>25</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z w:val="18"/>
                <w:szCs w:val="18"/>
                <w:highlight w:val="none"/>
              </w:rPr>
              <w:t>01</w:t>
            </w:r>
            <w:r>
              <w:rPr>
                <w:rFonts w:hint="eastAsia" w:ascii="Times New Roman" w:hAnsi="Times New Roman" w:eastAsia="宋体" w:cs="Times New Roman"/>
                <w:bCs/>
                <w:color w:val="auto"/>
                <w:spacing w:val="0"/>
                <w:sz w:val="18"/>
                <w:szCs w:val="18"/>
                <w:highlight w:val="none"/>
              </w:rPr>
              <w:t>）</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QD25</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344" w:firstLineChars="200"/>
              <w:jc w:val="both"/>
              <w:rPr>
                <w:rFonts w:cs="Calibri"/>
                <w:bCs/>
                <w:color w:val="auto"/>
                <w:spacing w:val="-4"/>
                <w:sz w:val="18"/>
                <w:szCs w:val="24"/>
                <w:highlight w:val="none"/>
              </w:rPr>
            </w:pPr>
            <w:r>
              <w:rPr>
                <w:rFonts w:cs="Calibri"/>
                <w:bCs/>
                <w:color w:val="auto"/>
                <w:spacing w:val="-4"/>
                <w:sz w:val="18"/>
                <w:szCs w:val="24"/>
                <w:highlight w:val="none"/>
              </w:rPr>
              <w:t>其中：引进外籍专家</w:t>
            </w:r>
            <w:r>
              <w:rPr>
                <w:rFonts w:hint="eastAsia" w:ascii="Times New Roman" w:hAnsi="Times New Roman" w:eastAsia="宋体" w:cs="Times New Roman"/>
                <w:bCs/>
                <w:color w:val="auto"/>
                <w:spacing w:val="0"/>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pacing w:val="0"/>
                <w:sz w:val="18"/>
                <w:szCs w:val="18"/>
                <w:highlight w:val="none"/>
              </w:rPr>
              <w:t>21</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z w:val="18"/>
                <w:szCs w:val="18"/>
                <w:highlight w:val="none"/>
              </w:rPr>
              <w:t>01</w:t>
            </w:r>
            <w:r>
              <w:rPr>
                <w:rFonts w:hint="eastAsia" w:ascii="Times New Roman" w:hAnsi="Times New Roman" w:eastAsia="宋体" w:cs="Times New Roman"/>
                <w:bCs/>
                <w:color w:val="auto"/>
                <w:spacing w:val="0"/>
                <w:sz w:val="18"/>
                <w:szCs w:val="18"/>
                <w:highlight w:val="none"/>
              </w:rPr>
              <w:t>）</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QD21</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344" w:firstLineChars="200"/>
              <w:jc w:val="both"/>
              <w:rPr>
                <w:rFonts w:cs="Calibri"/>
                <w:bCs/>
                <w:color w:val="auto"/>
                <w:spacing w:val="-4"/>
                <w:sz w:val="18"/>
                <w:szCs w:val="24"/>
                <w:highlight w:val="none"/>
              </w:rPr>
            </w:pPr>
            <w:r>
              <w:rPr>
                <w:rFonts w:cs="Calibri"/>
                <w:bCs/>
                <w:color w:val="auto"/>
                <w:spacing w:val="-4"/>
                <w:sz w:val="18"/>
                <w:szCs w:val="24"/>
                <w:highlight w:val="none"/>
              </w:rPr>
              <w:t>其中：当年新增从业人员</w:t>
            </w:r>
            <w:r>
              <w:rPr>
                <w:rFonts w:hint="eastAsia" w:ascii="Times New Roman" w:hAnsi="Times New Roman" w:eastAsia="宋体" w:cs="Times New Roman"/>
                <w:bCs/>
                <w:color w:val="auto"/>
                <w:spacing w:val="0"/>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pacing w:val="0"/>
                <w:sz w:val="18"/>
                <w:szCs w:val="18"/>
                <w:highlight w:val="none"/>
              </w:rPr>
              <w:t>26</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z w:val="18"/>
                <w:szCs w:val="18"/>
                <w:highlight w:val="none"/>
              </w:rPr>
              <w:t>01</w:t>
            </w:r>
            <w:r>
              <w:rPr>
                <w:rFonts w:hint="eastAsia" w:ascii="Times New Roman" w:hAnsi="Times New Roman" w:eastAsia="宋体" w:cs="Times New Roman"/>
                <w:bCs/>
                <w:color w:val="auto"/>
                <w:spacing w:val="0"/>
                <w:sz w:val="18"/>
                <w:szCs w:val="18"/>
                <w:highlight w:val="none"/>
              </w:rPr>
              <w:t>）</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QD26</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860" w:firstLineChars="500"/>
              <w:jc w:val="both"/>
              <w:rPr>
                <w:rFonts w:cs="Calibri"/>
                <w:bCs/>
                <w:color w:val="auto"/>
                <w:spacing w:val="-4"/>
                <w:sz w:val="18"/>
                <w:szCs w:val="24"/>
                <w:highlight w:val="none"/>
              </w:rPr>
            </w:pPr>
            <w:r>
              <w:rPr>
                <w:rFonts w:cs="Calibri"/>
                <w:bCs/>
                <w:color w:val="auto"/>
                <w:spacing w:val="-4"/>
                <w:sz w:val="18"/>
                <w:szCs w:val="24"/>
                <w:highlight w:val="none"/>
              </w:rPr>
              <w:t>其中：吸纳高校应届毕业生</w:t>
            </w:r>
            <w:r>
              <w:rPr>
                <w:rFonts w:hint="eastAsia" w:ascii="Times New Roman" w:hAnsi="Times New Roman" w:eastAsia="宋体" w:cs="Times New Roman"/>
                <w:bCs/>
                <w:color w:val="auto"/>
                <w:spacing w:val="0"/>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pacing w:val="0"/>
                <w:sz w:val="18"/>
                <w:szCs w:val="18"/>
                <w:highlight w:val="none"/>
              </w:rPr>
              <w:t>14</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z w:val="18"/>
                <w:szCs w:val="18"/>
                <w:highlight w:val="none"/>
              </w:rPr>
              <w:t>26</w:t>
            </w:r>
            <w:r>
              <w:rPr>
                <w:rFonts w:hint="eastAsia" w:ascii="Times New Roman" w:hAnsi="Times New Roman" w:eastAsia="宋体" w:cs="Times New Roman"/>
                <w:bCs/>
                <w:color w:val="auto"/>
                <w:spacing w:val="0"/>
                <w:sz w:val="18"/>
                <w:szCs w:val="18"/>
                <w:highlight w:val="none"/>
              </w:rPr>
              <w:t>）</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QD14</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left="420" w:leftChars="200" w:firstLine="946" w:firstLineChars="550"/>
              <w:jc w:val="both"/>
              <w:rPr>
                <w:rFonts w:cs="Calibri"/>
                <w:bCs/>
                <w:color w:val="auto"/>
                <w:spacing w:val="-4"/>
                <w:sz w:val="18"/>
                <w:szCs w:val="24"/>
                <w:highlight w:val="none"/>
              </w:rPr>
            </w:pPr>
            <w:r>
              <w:rPr>
                <w:rFonts w:cs="Calibri"/>
                <w:bCs/>
                <w:color w:val="auto"/>
                <w:spacing w:val="-4"/>
                <w:sz w:val="18"/>
                <w:szCs w:val="24"/>
                <w:highlight w:val="none"/>
              </w:rPr>
              <w:t>其中：从事科研或科研辅助工作的应届毕业生</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QD14_0</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both"/>
              <w:rPr>
                <w:rFonts w:cs="Calibri"/>
                <w:bCs/>
                <w:color w:val="auto"/>
                <w:sz w:val="18"/>
                <w:szCs w:val="24"/>
                <w:highlight w:val="none"/>
              </w:rPr>
            </w:pPr>
            <w:r>
              <w:rPr>
                <w:rFonts w:cs="Calibri"/>
                <w:bCs/>
                <w:color w:val="auto"/>
                <w:sz w:val="18"/>
                <w:szCs w:val="24"/>
                <w:highlight w:val="none"/>
              </w:rPr>
              <w:t>从业人员年平均人数</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QD05</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both"/>
              <w:rPr>
                <w:rFonts w:cs="Calibri"/>
                <w:b/>
                <w:color w:val="auto"/>
                <w:sz w:val="18"/>
                <w:szCs w:val="24"/>
                <w:highlight w:val="none"/>
              </w:rPr>
            </w:pPr>
            <w:r>
              <w:rPr>
                <w:rFonts w:cs="Calibri"/>
                <w:b/>
                <w:color w:val="auto"/>
                <w:sz w:val="18"/>
                <w:szCs w:val="24"/>
                <w:highlight w:val="none"/>
              </w:rPr>
              <w:t>二、从业人员构成</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kern w:val="0"/>
                <w:sz w:val="18"/>
                <w:szCs w:val="18"/>
                <w:highlight w:val="none"/>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kern w:val="0"/>
                <w:sz w:val="18"/>
                <w:szCs w:val="18"/>
                <w:highlight w:val="none"/>
              </w:rPr>
              <w:t>—</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rPr>
                <w:rFonts w:cs="Calibri"/>
                <w:b/>
                <w:color w:val="auto"/>
                <w:kern w:val="0"/>
                <w:sz w:val="18"/>
                <w:szCs w:val="18"/>
                <w:highlight w:val="none"/>
              </w:rPr>
            </w:pPr>
            <w:r>
              <w:rPr>
                <w:rFonts w:cs="Calibri"/>
                <w:b/>
                <w:color w:val="auto"/>
                <w:sz w:val="18"/>
                <w:szCs w:val="24"/>
                <w:highlight w:val="none"/>
              </w:rPr>
              <w:t>（一）按学历、学</w:t>
            </w:r>
            <w:r>
              <w:rPr>
                <w:rFonts w:cs="Calibri"/>
                <w:b/>
                <w:bCs w:val="0"/>
                <w:color w:val="auto"/>
                <w:sz w:val="18"/>
                <w:szCs w:val="24"/>
                <w:highlight w:val="none"/>
              </w:rPr>
              <w:t>位及技能分</w:t>
            </w:r>
            <w:r>
              <w:rPr>
                <w:rFonts w:hint="eastAsia" w:ascii="Times New Roman" w:hAnsi="Times New Roman" w:eastAsia="宋体" w:cs="Times New Roman"/>
                <w:b/>
                <w:bCs w:val="0"/>
                <w:color w:val="auto"/>
                <w:sz w:val="18"/>
                <w:szCs w:val="18"/>
                <w:highlight w:val="none"/>
              </w:rPr>
              <w:t>（</w:t>
            </w:r>
            <w:r>
              <w:rPr>
                <w:rFonts w:cs="Calibri"/>
                <w:bCs/>
                <w:color w:val="auto"/>
                <w:sz w:val="18"/>
                <w:szCs w:val="24"/>
                <w:highlight w:val="none"/>
              </w:rPr>
              <w:t>QD</w:t>
            </w:r>
            <w:r>
              <w:rPr>
                <w:rFonts w:hint="eastAsia" w:ascii="Times New Roman" w:hAnsi="Times New Roman" w:eastAsia="宋体" w:cs="Times New Roman"/>
                <w:b/>
                <w:bCs w:val="0"/>
                <w:color w:val="auto"/>
                <w:sz w:val="18"/>
                <w:szCs w:val="18"/>
                <w:highlight w:val="none"/>
              </w:rPr>
              <w:t>18+</w:t>
            </w:r>
            <w:r>
              <w:rPr>
                <w:rFonts w:cs="Calibri"/>
                <w:bCs/>
                <w:color w:val="auto"/>
                <w:sz w:val="18"/>
                <w:szCs w:val="24"/>
                <w:highlight w:val="none"/>
              </w:rPr>
              <w:t>QD</w:t>
            </w:r>
            <w:r>
              <w:rPr>
                <w:rFonts w:hint="eastAsia" w:ascii="Times New Roman" w:hAnsi="Times New Roman" w:eastAsia="宋体" w:cs="Times New Roman"/>
                <w:b/>
                <w:bCs w:val="0"/>
                <w:color w:val="auto"/>
                <w:sz w:val="18"/>
                <w:szCs w:val="18"/>
                <w:highlight w:val="none"/>
              </w:rPr>
              <w:t>08+</w:t>
            </w:r>
            <w:r>
              <w:rPr>
                <w:rFonts w:cs="Calibri"/>
                <w:bCs/>
                <w:color w:val="auto"/>
                <w:sz w:val="18"/>
                <w:szCs w:val="24"/>
                <w:highlight w:val="none"/>
              </w:rPr>
              <w:t>QD</w:t>
            </w:r>
            <w:r>
              <w:rPr>
                <w:rFonts w:hint="eastAsia" w:ascii="Times New Roman" w:hAnsi="Times New Roman" w:eastAsia="宋体" w:cs="Times New Roman"/>
                <w:b/>
                <w:bCs w:val="0"/>
                <w:color w:val="auto"/>
                <w:sz w:val="18"/>
                <w:szCs w:val="18"/>
                <w:highlight w:val="none"/>
              </w:rPr>
              <w:t>09≤</w:t>
            </w:r>
            <w:r>
              <w:rPr>
                <w:rFonts w:cs="Calibri"/>
                <w:bCs/>
                <w:color w:val="auto"/>
                <w:sz w:val="18"/>
                <w:szCs w:val="24"/>
                <w:highlight w:val="none"/>
              </w:rPr>
              <w:t>QD</w:t>
            </w:r>
            <w:r>
              <w:rPr>
                <w:rFonts w:hint="eastAsia" w:ascii="Times New Roman" w:hAnsi="Times New Roman" w:eastAsia="宋体" w:cs="Times New Roman"/>
                <w:b/>
                <w:bCs w:val="0"/>
                <w:color w:val="auto"/>
                <w:sz w:val="18"/>
                <w:szCs w:val="18"/>
                <w:highlight w:val="none"/>
              </w:rPr>
              <w:t>01）</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kern w:val="0"/>
                <w:sz w:val="18"/>
                <w:szCs w:val="18"/>
                <w:highlight w:val="none"/>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kern w:val="0"/>
                <w:sz w:val="18"/>
                <w:szCs w:val="18"/>
                <w:highlight w:val="none"/>
              </w:rPr>
              <w:t>—</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r>
              <w:rPr>
                <w:rFonts w:ascii="Times New Roman" w:hAnsi="Times New Roman"/>
                <w:bCs/>
                <w:color w:val="auto"/>
                <w:kern w:val="0"/>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rPr>
                <w:rFonts w:cs="Calibri"/>
                <w:bCs/>
                <w:color w:val="auto"/>
                <w:sz w:val="18"/>
                <w:szCs w:val="24"/>
                <w:highlight w:val="none"/>
              </w:rPr>
            </w:pPr>
            <w:r>
              <w:rPr>
                <w:rFonts w:cs="Calibri"/>
                <w:bCs/>
                <w:color w:val="auto"/>
                <w:kern w:val="0"/>
                <w:sz w:val="18"/>
                <w:szCs w:val="18"/>
                <w:highlight w:val="none"/>
              </w:rPr>
              <w:t>具有研究生学历（位）人员</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QD</w:t>
            </w:r>
            <w:r>
              <w:rPr>
                <w:rFonts w:hint="eastAsia" w:ascii="Times New Roman" w:hAnsi="Times New Roman" w:eastAsia="宋体" w:cs="Times New Roman"/>
                <w:bCs/>
                <w:color w:val="auto"/>
                <w:sz w:val="18"/>
                <w:szCs w:val="18"/>
                <w:highlight w:val="none"/>
              </w:rPr>
              <w:t>06+</w:t>
            </w:r>
            <w:r>
              <w:rPr>
                <w:rFonts w:cs="Calibri"/>
                <w:bCs/>
                <w:color w:val="auto"/>
                <w:sz w:val="18"/>
                <w:szCs w:val="24"/>
                <w:highlight w:val="none"/>
              </w:rPr>
              <w:t>QD</w:t>
            </w:r>
            <w:r>
              <w:rPr>
                <w:rFonts w:hint="eastAsia" w:ascii="Times New Roman" w:hAnsi="Times New Roman" w:eastAsia="宋体" w:cs="Times New Roman"/>
                <w:bCs/>
                <w:color w:val="auto"/>
                <w:sz w:val="18"/>
                <w:szCs w:val="18"/>
                <w:highlight w:val="none"/>
              </w:rPr>
              <w:t>07≤</w:t>
            </w:r>
            <w:r>
              <w:rPr>
                <w:rFonts w:cs="Calibri"/>
                <w:bCs/>
                <w:color w:val="auto"/>
                <w:sz w:val="18"/>
                <w:szCs w:val="24"/>
                <w:highlight w:val="none"/>
              </w:rPr>
              <w:t>QD</w:t>
            </w:r>
            <w:r>
              <w:rPr>
                <w:rFonts w:hint="eastAsia" w:ascii="Times New Roman" w:hAnsi="Times New Roman" w:eastAsia="宋体" w:cs="Times New Roman"/>
                <w:bCs/>
                <w:color w:val="auto"/>
                <w:sz w:val="18"/>
                <w:szCs w:val="18"/>
                <w:highlight w:val="none"/>
              </w:rPr>
              <w:t>18）</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QD18</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360" w:firstLineChars="200"/>
              <w:rPr>
                <w:rFonts w:cs="Calibri"/>
                <w:bCs/>
                <w:color w:val="auto"/>
                <w:sz w:val="18"/>
                <w:szCs w:val="24"/>
                <w:highlight w:val="none"/>
              </w:rPr>
            </w:pPr>
            <w:r>
              <w:rPr>
                <w:rFonts w:cs="Calibri"/>
                <w:bCs/>
                <w:color w:val="auto"/>
                <w:sz w:val="18"/>
                <w:szCs w:val="24"/>
                <w:highlight w:val="none"/>
              </w:rPr>
              <w:t>其中：</w:t>
            </w:r>
            <w:r>
              <w:rPr>
                <w:rFonts w:cs="Calibri"/>
                <w:bCs/>
                <w:color w:val="auto"/>
                <w:spacing w:val="-4"/>
                <w:sz w:val="18"/>
                <w:szCs w:val="24"/>
                <w:highlight w:val="none"/>
              </w:rPr>
              <w:t>博士</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QD06</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900" w:firstLineChars="500"/>
              <w:rPr>
                <w:rFonts w:cs="Calibri"/>
                <w:bCs/>
                <w:color w:val="auto"/>
                <w:sz w:val="18"/>
                <w:szCs w:val="24"/>
                <w:highlight w:val="none"/>
              </w:rPr>
            </w:pPr>
            <w:r>
              <w:rPr>
                <w:rFonts w:cs="Calibri"/>
                <w:bCs/>
                <w:color w:val="auto"/>
                <w:sz w:val="18"/>
                <w:szCs w:val="24"/>
                <w:highlight w:val="none"/>
              </w:rPr>
              <w:t>硕士</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QD07</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rPr>
                <w:rFonts w:cs="Calibri"/>
                <w:bCs/>
                <w:color w:val="auto"/>
                <w:sz w:val="18"/>
                <w:szCs w:val="24"/>
                <w:highlight w:val="none"/>
              </w:rPr>
            </w:pPr>
            <w:r>
              <w:rPr>
                <w:rFonts w:cs="Calibri"/>
                <w:bCs/>
                <w:color w:val="auto"/>
                <w:kern w:val="0"/>
                <w:sz w:val="18"/>
                <w:szCs w:val="18"/>
                <w:highlight w:val="none"/>
              </w:rPr>
              <w:t>具有大学本科学历（位）人员</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QD08</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rPr>
                <w:rFonts w:cs="Calibri"/>
                <w:bCs/>
                <w:color w:val="auto"/>
                <w:sz w:val="18"/>
                <w:szCs w:val="24"/>
                <w:highlight w:val="none"/>
              </w:rPr>
            </w:pPr>
            <w:r>
              <w:rPr>
                <w:rFonts w:cs="Calibri"/>
                <w:bCs/>
                <w:color w:val="auto"/>
                <w:kern w:val="0"/>
                <w:sz w:val="18"/>
                <w:szCs w:val="18"/>
                <w:highlight w:val="none"/>
              </w:rPr>
              <w:t>具有大学专科学历人员</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QD09</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rPr>
                <w:rFonts w:cs="Calibri"/>
                <w:bCs/>
                <w:color w:val="auto"/>
                <w:sz w:val="18"/>
                <w:szCs w:val="24"/>
                <w:highlight w:val="none"/>
              </w:rPr>
            </w:pPr>
            <w:r>
              <w:rPr>
                <w:rFonts w:cs="Calibri"/>
                <w:bCs/>
                <w:color w:val="auto"/>
                <w:kern w:val="0"/>
                <w:sz w:val="18"/>
                <w:szCs w:val="18"/>
                <w:highlight w:val="none"/>
              </w:rPr>
              <w:t>技能人员</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QD31</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360" w:firstLineChars="200"/>
              <w:rPr>
                <w:rFonts w:cs="Calibri"/>
                <w:bCs/>
                <w:color w:val="auto"/>
                <w:sz w:val="18"/>
                <w:szCs w:val="24"/>
                <w:highlight w:val="none"/>
              </w:rPr>
            </w:pPr>
            <w:r>
              <w:rPr>
                <w:rFonts w:cs="Calibri"/>
                <w:bCs/>
                <w:color w:val="auto"/>
                <w:kern w:val="0"/>
                <w:sz w:val="18"/>
                <w:szCs w:val="18"/>
                <w:highlight w:val="none"/>
              </w:rPr>
              <w:t>其中：高级</w:t>
            </w:r>
            <w:r>
              <w:rPr>
                <w:rFonts w:cs="Calibri"/>
                <w:bCs/>
                <w:color w:val="auto"/>
                <w:sz w:val="18"/>
                <w:szCs w:val="24"/>
                <w:highlight w:val="none"/>
              </w:rPr>
              <w:t>技师</w:t>
            </w:r>
            <w:r>
              <w:rPr>
                <w:rFonts w:cs="Calibri"/>
                <w:bCs/>
                <w:color w:val="auto"/>
                <w:kern w:val="0"/>
                <w:sz w:val="18"/>
                <w:szCs w:val="18"/>
                <w:highlight w:val="none"/>
              </w:rPr>
              <w:t>（国家职业资格一级）</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QD32</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900" w:firstLineChars="500"/>
              <w:rPr>
                <w:rFonts w:cs="Calibri"/>
                <w:bCs/>
                <w:color w:val="auto"/>
                <w:sz w:val="18"/>
                <w:szCs w:val="24"/>
                <w:highlight w:val="none"/>
              </w:rPr>
            </w:pPr>
            <w:r>
              <w:rPr>
                <w:rFonts w:cs="Calibri"/>
                <w:bCs/>
                <w:color w:val="auto"/>
                <w:kern w:val="0"/>
                <w:sz w:val="18"/>
                <w:szCs w:val="18"/>
                <w:highlight w:val="none"/>
              </w:rPr>
              <w:t>技师（国家职业资格二级）</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QD33</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900" w:firstLineChars="500"/>
              <w:rPr>
                <w:rFonts w:cs="Calibri"/>
                <w:bCs/>
                <w:color w:val="auto"/>
                <w:sz w:val="18"/>
                <w:szCs w:val="24"/>
                <w:highlight w:val="none"/>
              </w:rPr>
            </w:pPr>
            <w:r>
              <w:rPr>
                <w:rFonts w:cs="Calibri"/>
                <w:bCs/>
                <w:color w:val="auto"/>
                <w:kern w:val="0"/>
                <w:sz w:val="18"/>
                <w:szCs w:val="18"/>
                <w:highlight w:val="none"/>
              </w:rPr>
              <w:t>高级技能</w:t>
            </w:r>
            <w:r>
              <w:rPr>
                <w:rFonts w:cs="Calibri"/>
                <w:bCs/>
                <w:color w:val="auto"/>
                <w:sz w:val="18"/>
                <w:szCs w:val="24"/>
                <w:highlight w:val="none"/>
              </w:rPr>
              <w:t>人员</w:t>
            </w:r>
            <w:r>
              <w:rPr>
                <w:rFonts w:cs="Calibri"/>
                <w:bCs/>
                <w:color w:val="auto"/>
                <w:kern w:val="0"/>
                <w:sz w:val="18"/>
                <w:szCs w:val="18"/>
                <w:highlight w:val="none"/>
              </w:rPr>
              <w:t>（国家职业资格三级）</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QD34</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900" w:firstLineChars="500"/>
              <w:rPr>
                <w:rFonts w:cs="Calibri"/>
                <w:bCs/>
                <w:color w:val="auto"/>
                <w:sz w:val="18"/>
                <w:szCs w:val="24"/>
                <w:highlight w:val="none"/>
              </w:rPr>
            </w:pPr>
            <w:r>
              <w:rPr>
                <w:rFonts w:cs="Calibri"/>
                <w:bCs/>
                <w:color w:val="auto"/>
                <w:kern w:val="0"/>
                <w:sz w:val="18"/>
                <w:szCs w:val="18"/>
                <w:highlight w:val="none"/>
              </w:rPr>
              <w:t>中级技能</w:t>
            </w:r>
            <w:r>
              <w:rPr>
                <w:rFonts w:cs="Calibri"/>
                <w:bCs/>
                <w:color w:val="auto"/>
                <w:sz w:val="18"/>
                <w:szCs w:val="24"/>
                <w:highlight w:val="none"/>
              </w:rPr>
              <w:t>人员</w:t>
            </w:r>
            <w:r>
              <w:rPr>
                <w:rFonts w:cs="Calibri"/>
                <w:bCs/>
                <w:color w:val="auto"/>
                <w:kern w:val="0"/>
                <w:sz w:val="18"/>
                <w:szCs w:val="18"/>
                <w:highlight w:val="none"/>
              </w:rPr>
              <w:t>（国家职业资格四级）</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QD35</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ind w:firstLine="900" w:firstLineChars="500"/>
              <w:rPr>
                <w:rFonts w:cs="Calibri"/>
                <w:bCs/>
                <w:color w:val="auto"/>
                <w:sz w:val="18"/>
                <w:szCs w:val="24"/>
                <w:highlight w:val="none"/>
              </w:rPr>
            </w:pPr>
            <w:r>
              <w:rPr>
                <w:rFonts w:cs="Calibri"/>
                <w:bCs/>
                <w:color w:val="auto"/>
                <w:kern w:val="0"/>
                <w:sz w:val="18"/>
                <w:szCs w:val="18"/>
                <w:highlight w:val="none"/>
              </w:rPr>
              <w:t>初级技能</w:t>
            </w:r>
            <w:r>
              <w:rPr>
                <w:rFonts w:cs="Calibri"/>
                <w:bCs/>
                <w:color w:val="auto"/>
                <w:sz w:val="18"/>
                <w:szCs w:val="24"/>
                <w:highlight w:val="none"/>
              </w:rPr>
              <w:t>人员</w:t>
            </w:r>
            <w:r>
              <w:rPr>
                <w:rFonts w:cs="Calibri"/>
                <w:bCs/>
                <w:color w:val="auto"/>
                <w:kern w:val="0"/>
                <w:sz w:val="18"/>
                <w:szCs w:val="18"/>
                <w:highlight w:val="none"/>
              </w:rPr>
              <w:t>（国家职业资格五级）</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QD36</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rPr>
                <w:rFonts w:cs="Calibri"/>
                <w:b/>
                <w:color w:val="auto"/>
                <w:sz w:val="18"/>
                <w:szCs w:val="24"/>
                <w:highlight w:val="none"/>
              </w:rPr>
            </w:pPr>
            <w:r>
              <w:rPr>
                <w:rFonts w:cs="Calibri"/>
                <w:b/>
                <w:color w:val="auto"/>
                <w:sz w:val="18"/>
                <w:szCs w:val="24"/>
                <w:highlight w:val="none"/>
              </w:rPr>
              <w:t>（二）按职业类型分</w:t>
            </w:r>
            <w:r>
              <w:rPr>
                <w:rFonts w:hint="eastAsia" w:ascii="Times New Roman" w:hAnsi="Times New Roman" w:eastAsia="宋体" w:cs="Times New Roman"/>
                <w:b/>
                <w:color w:val="auto"/>
                <w:sz w:val="18"/>
                <w:szCs w:val="18"/>
                <w:highlight w:val="none"/>
              </w:rPr>
              <w:t>（</w:t>
            </w:r>
            <w:r>
              <w:rPr>
                <w:rFonts w:cs="Calibri"/>
                <w:bCs/>
                <w:color w:val="auto"/>
                <w:sz w:val="18"/>
                <w:szCs w:val="24"/>
                <w:highlight w:val="none"/>
              </w:rPr>
              <w:t>QD</w:t>
            </w:r>
            <w:r>
              <w:rPr>
                <w:rFonts w:hint="eastAsia" w:ascii="Times New Roman" w:hAnsi="Times New Roman" w:eastAsia="宋体" w:cs="Times New Roman"/>
                <w:b/>
                <w:color w:val="auto"/>
                <w:sz w:val="18"/>
                <w:szCs w:val="18"/>
                <w:highlight w:val="none"/>
              </w:rPr>
              <w:t>27+</w:t>
            </w:r>
            <w:r>
              <w:rPr>
                <w:rFonts w:cs="Calibri"/>
                <w:bCs/>
                <w:color w:val="auto"/>
                <w:sz w:val="18"/>
                <w:szCs w:val="24"/>
                <w:highlight w:val="none"/>
              </w:rPr>
              <w:t>QD</w:t>
            </w:r>
            <w:r>
              <w:rPr>
                <w:rFonts w:hint="eastAsia" w:ascii="Times New Roman" w:hAnsi="Times New Roman" w:eastAsia="宋体" w:cs="Times New Roman"/>
                <w:b/>
                <w:color w:val="auto"/>
                <w:sz w:val="18"/>
                <w:szCs w:val="18"/>
                <w:highlight w:val="none"/>
              </w:rPr>
              <w:t>28≤</w:t>
            </w:r>
            <w:r>
              <w:rPr>
                <w:rFonts w:cs="Calibri"/>
                <w:bCs/>
                <w:color w:val="auto"/>
                <w:sz w:val="18"/>
                <w:szCs w:val="24"/>
                <w:highlight w:val="none"/>
              </w:rPr>
              <w:t>QD</w:t>
            </w:r>
            <w:r>
              <w:rPr>
                <w:rFonts w:hint="eastAsia" w:ascii="Times New Roman" w:hAnsi="Times New Roman" w:eastAsia="宋体" w:cs="Times New Roman"/>
                <w:b/>
                <w:color w:val="auto"/>
                <w:sz w:val="18"/>
                <w:szCs w:val="18"/>
                <w:highlight w:val="none"/>
              </w:rPr>
              <w:t>01）</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kern w:val="0"/>
                <w:sz w:val="18"/>
                <w:szCs w:val="18"/>
                <w:highlight w:val="none"/>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kern w:val="0"/>
                <w:sz w:val="18"/>
                <w:szCs w:val="18"/>
                <w:highlight w:val="none"/>
              </w:rPr>
              <w:t>—</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r>
              <w:rPr>
                <w:rFonts w:ascii="Times New Roman" w:hAnsi="Times New Roman"/>
                <w:bCs/>
                <w:color w:val="auto"/>
                <w:kern w:val="0"/>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rPr>
                <w:rFonts w:cs="Calibri"/>
                <w:bCs/>
                <w:color w:val="auto"/>
                <w:sz w:val="18"/>
                <w:szCs w:val="24"/>
                <w:highlight w:val="none"/>
              </w:rPr>
            </w:pPr>
            <w:r>
              <w:rPr>
                <w:rFonts w:cs="Calibri"/>
                <w:bCs/>
                <w:color w:val="auto"/>
                <w:sz w:val="18"/>
                <w:szCs w:val="24"/>
                <w:highlight w:val="none"/>
              </w:rPr>
              <w:t>中层及以上管理人员</w:t>
            </w:r>
          </w:p>
        </w:tc>
        <w:tc>
          <w:tcPr>
            <w:tcW w:w="1418"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QD27</w:t>
            </w:r>
          </w:p>
        </w:tc>
        <w:tc>
          <w:tcPr>
            <w:tcW w:w="1509" w:type="dxa"/>
            <w:tcBorders>
              <w:top w:val="single" w:color="auto" w:sz="4" w:space="0"/>
              <w:left w:val="single" w:color="auto" w:sz="4" w:space="0"/>
              <w:bottom w:val="single" w:color="auto" w:sz="4"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8" w:type="dxa"/>
            <w:tcBorders>
              <w:top w:val="single" w:color="auto" w:sz="4" w:space="0"/>
              <w:left w:val="nil"/>
              <w:bottom w:val="single" w:color="auto" w:sz="8" w:space="0"/>
              <w:right w:val="single" w:color="auto" w:sz="4" w:space="0"/>
            </w:tcBorders>
            <w:noWrap w:val="0"/>
            <w:vAlign w:val="center"/>
          </w:tcPr>
          <w:p>
            <w:pPr>
              <w:adjustRightInd w:val="0"/>
              <w:snapToGrid w:val="0"/>
              <w:spacing w:line="280" w:lineRule="exact"/>
              <w:rPr>
                <w:rFonts w:cs="Calibri"/>
                <w:bCs/>
                <w:color w:val="auto"/>
                <w:sz w:val="18"/>
                <w:szCs w:val="24"/>
                <w:highlight w:val="none"/>
              </w:rPr>
            </w:pPr>
            <w:r>
              <w:rPr>
                <w:rFonts w:cs="Calibri"/>
                <w:bCs/>
                <w:color w:val="auto"/>
                <w:sz w:val="18"/>
                <w:szCs w:val="24"/>
                <w:highlight w:val="none"/>
              </w:rPr>
              <w:t>专业技术人员</w:t>
            </w:r>
          </w:p>
        </w:tc>
        <w:tc>
          <w:tcPr>
            <w:tcW w:w="1418" w:type="dxa"/>
            <w:tcBorders>
              <w:top w:val="single" w:color="auto" w:sz="4" w:space="0"/>
              <w:left w:val="single" w:color="auto" w:sz="4" w:space="0"/>
              <w:bottom w:val="single" w:color="auto" w:sz="8" w:space="0"/>
              <w:right w:val="nil"/>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人</w:t>
            </w:r>
          </w:p>
        </w:tc>
        <w:tc>
          <w:tcPr>
            <w:tcW w:w="1275"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80" w:lineRule="exact"/>
              <w:jc w:val="center"/>
              <w:rPr>
                <w:rFonts w:cs="Calibri"/>
                <w:bCs/>
                <w:color w:val="auto"/>
                <w:sz w:val="18"/>
                <w:szCs w:val="24"/>
                <w:highlight w:val="none"/>
              </w:rPr>
            </w:pPr>
            <w:r>
              <w:rPr>
                <w:rFonts w:cs="Calibri"/>
                <w:bCs/>
                <w:color w:val="auto"/>
                <w:sz w:val="18"/>
                <w:szCs w:val="24"/>
                <w:highlight w:val="none"/>
              </w:rPr>
              <w:t>QD28</w:t>
            </w:r>
          </w:p>
        </w:tc>
        <w:tc>
          <w:tcPr>
            <w:tcW w:w="1509" w:type="dxa"/>
            <w:tcBorders>
              <w:top w:val="single" w:color="auto" w:sz="4" w:space="0"/>
              <w:left w:val="single" w:color="auto" w:sz="4" w:space="0"/>
              <w:bottom w:val="single" w:color="auto" w:sz="8" w:space="0"/>
              <w:right w:val="nil"/>
            </w:tcBorders>
            <w:noWrap w:val="0"/>
            <w:vAlign w:val="center"/>
          </w:tcPr>
          <w:p>
            <w:pPr>
              <w:adjustRightInd w:val="0"/>
              <w:snapToGrid w:val="0"/>
              <w:spacing w:line="280" w:lineRule="exact"/>
              <w:jc w:val="center"/>
              <w:rPr>
                <w:rFonts w:ascii="Times New Roman" w:hAnsi="Times New Roman"/>
                <w:bCs/>
                <w:color w:val="auto"/>
                <w:sz w:val="18"/>
                <w:szCs w:val="24"/>
                <w:highlight w:val="none"/>
              </w:rPr>
            </w:pPr>
          </w:p>
        </w:tc>
      </w:tr>
    </w:tbl>
    <w:p>
      <w:pPr>
        <w:spacing w:line="240" w:lineRule="exact"/>
        <w:rPr>
          <w:rFonts w:ascii="Times New Roman" w:hAnsi="Times New Roman"/>
          <w:bCs/>
          <w:color w:val="auto"/>
          <w:sz w:val="18"/>
          <w:szCs w:val="24"/>
          <w:highlight w:val="none"/>
        </w:rPr>
      </w:pPr>
      <w:r>
        <w:rPr>
          <w:rFonts w:hint="eastAsia"/>
          <w:bCs/>
          <w:color w:val="auto"/>
          <w:sz w:val="18"/>
          <w:highlight w:val="none"/>
        </w:rPr>
        <w:t>单位负责人: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统计负责人: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填表人: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 xml:space="preserve"> 联系电话:</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报出日期:20</w:t>
      </w:r>
      <w:r>
        <w:rPr>
          <w:rFonts w:hint="eastAsia"/>
          <w:bCs/>
          <w:color w:val="auto"/>
          <w:sz w:val="18"/>
          <w:highlight w:val="none"/>
          <w:u w:val="single"/>
        </w:rPr>
        <w:t xml:space="preserve">  </w:t>
      </w:r>
      <w:r>
        <w:rPr>
          <w:rFonts w:hint="eastAsia"/>
          <w:bCs/>
          <w:color w:val="auto"/>
          <w:sz w:val="18"/>
          <w:highlight w:val="none"/>
        </w:rPr>
        <w:t>年</w:t>
      </w:r>
      <w:r>
        <w:rPr>
          <w:rFonts w:hint="eastAsia"/>
          <w:bCs/>
          <w:color w:val="auto"/>
          <w:sz w:val="18"/>
          <w:highlight w:val="none"/>
          <w:u w:val="single"/>
        </w:rPr>
        <w:t xml:space="preserve">  </w:t>
      </w:r>
      <w:r>
        <w:rPr>
          <w:rFonts w:hint="eastAsia"/>
          <w:bCs/>
          <w:color w:val="auto"/>
          <w:sz w:val="18"/>
          <w:highlight w:val="none"/>
        </w:rPr>
        <w:t>月</w:t>
      </w:r>
      <w:r>
        <w:rPr>
          <w:rFonts w:hint="eastAsia"/>
          <w:bCs/>
          <w:color w:val="auto"/>
          <w:sz w:val="18"/>
          <w:highlight w:val="none"/>
          <w:u w:val="single"/>
        </w:rPr>
        <w:t xml:space="preserve">  </w:t>
      </w:r>
      <w:r>
        <w:rPr>
          <w:rFonts w:hint="eastAsia"/>
          <w:bCs/>
          <w:color w:val="auto"/>
          <w:sz w:val="18"/>
          <w:highlight w:val="none"/>
        </w:rPr>
        <w:t>日</w:t>
      </w:r>
    </w:p>
    <w:p>
      <w:pPr>
        <w:spacing w:line="360" w:lineRule="exact"/>
        <w:ind w:left="720" w:hanging="720" w:hangingChars="400"/>
        <w:rPr>
          <w:rFonts w:ascii="Times New Roman" w:hAnsi="Times New Roman"/>
          <w:bCs/>
          <w:color w:val="auto"/>
          <w:sz w:val="18"/>
          <w:szCs w:val="24"/>
          <w:highlight w:val="none"/>
        </w:rPr>
      </w:pPr>
    </w:p>
    <w:p>
      <w:pPr>
        <w:spacing w:line="360" w:lineRule="exact"/>
        <w:ind w:left="720" w:hanging="720" w:hangingChars="400"/>
        <w:rPr>
          <w:rFonts w:ascii="Times New Roman" w:hAnsi="Times New Roman"/>
          <w:bCs/>
          <w:color w:val="auto"/>
          <w:sz w:val="18"/>
          <w:szCs w:val="24"/>
          <w:highlight w:val="none"/>
        </w:rPr>
      </w:pPr>
      <w:r>
        <w:rPr>
          <w:rFonts w:ascii="Times New Roman" w:hAnsi="Times New Roman"/>
          <w:bCs/>
          <w:color w:val="auto"/>
          <w:sz w:val="18"/>
          <w:szCs w:val="24"/>
          <w:highlight w:val="none"/>
        </w:rPr>
        <w:t>说明：审核关系</w:t>
      </w:r>
    </w:p>
    <w:p>
      <w:pPr>
        <w:adjustRightInd w:val="0"/>
        <w:snapToGrid w:val="0"/>
        <w:spacing w:line="280" w:lineRule="exact"/>
        <w:ind w:left="0" w:leftChars="0" w:firstLine="540" w:firstLineChars="300"/>
        <w:jc w:val="left"/>
        <w:rPr>
          <w:rFonts w:hint="eastAsia" w:ascii="Times New Roman" w:hAnsi="Times New Roman" w:eastAsia="宋体" w:cs="Times New Roman"/>
          <w:bCs/>
          <w:color w:val="auto"/>
          <w:spacing w:val="0"/>
          <w:sz w:val="18"/>
          <w:szCs w:val="18"/>
          <w:highlight w:val="none"/>
        </w:rPr>
      </w:pPr>
      <w:r>
        <w:rPr>
          <w:rFonts w:hint="eastAsia" w:ascii="Times New Roman" w:hAnsi="Times New Roman" w:eastAsia="宋体" w:cs="Times New Roman"/>
          <w:bCs/>
          <w:color w:val="auto"/>
          <w:sz w:val="18"/>
          <w:szCs w:val="18"/>
          <w:highlight w:val="none"/>
        </w:rPr>
        <w:t>（1）QD03≤QD01</w:t>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 xml:space="preserve">     （2）QD25≤QD01</w:t>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 xml:space="preserve">     （3）</w:t>
      </w:r>
      <w:r>
        <w:rPr>
          <w:rFonts w:hint="eastAsia" w:ascii="Times New Roman" w:hAnsi="Times New Roman" w:eastAsia="宋体" w:cs="Times New Roman"/>
          <w:bCs/>
          <w:color w:val="auto"/>
          <w:spacing w:val="0"/>
          <w:sz w:val="18"/>
          <w:szCs w:val="18"/>
          <w:highlight w:val="none"/>
        </w:rPr>
        <w:t>QD21≤QD01</w:t>
      </w:r>
    </w:p>
    <w:p>
      <w:pPr>
        <w:adjustRightInd w:val="0"/>
        <w:snapToGrid w:val="0"/>
        <w:spacing w:line="280" w:lineRule="exact"/>
        <w:ind w:left="0" w:leftChars="0" w:firstLine="540" w:firstLineChars="300"/>
        <w:jc w:val="left"/>
        <w:rPr>
          <w:rFonts w:hint="eastAsia"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pacing w:val="0"/>
          <w:sz w:val="18"/>
          <w:szCs w:val="18"/>
          <w:highlight w:val="none"/>
        </w:rPr>
        <w:t>（4）QD26</w:t>
      </w:r>
      <w:r>
        <w:rPr>
          <w:rFonts w:hint="eastAsia" w:ascii="Times New Roman" w:hAnsi="Times New Roman" w:eastAsia="宋体" w:cs="Times New Roman"/>
          <w:bCs/>
          <w:color w:val="auto"/>
          <w:sz w:val="18"/>
          <w:szCs w:val="18"/>
          <w:highlight w:val="none"/>
        </w:rPr>
        <w:t>≤QD01</w:t>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 xml:space="preserve">     （5）QD14≤</w:t>
      </w:r>
      <w:r>
        <w:rPr>
          <w:rFonts w:hint="eastAsia" w:ascii="Times New Roman" w:hAnsi="Times New Roman" w:eastAsia="宋体" w:cs="Times New Roman"/>
          <w:bCs/>
          <w:color w:val="auto"/>
          <w:spacing w:val="0"/>
          <w:sz w:val="18"/>
          <w:szCs w:val="18"/>
          <w:highlight w:val="none"/>
        </w:rPr>
        <w:t>QD26</w:t>
      </w:r>
      <w:r>
        <w:rPr>
          <w:rFonts w:hint="eastAsia" w:ascii="Times New Roman" w:hAnsi="Times New Roman" w:eastAsia="宋体" w:cs="Times New Roman"/>
          <w:bCs/>
          <w:color w:val="auto"/>
          <w:spacing w:val="0"/>
          <w:sz w:val="18"/>
          <w:szCs w:val="18"/>
          <w:highlight w:val="none"/>
        </w:rPr>
        <w:tab/>
      </w:r>
      <w:r>
        <w:rPr>
          <w:rFonts w:hint="eastAsia" w:ascii="Times New Roman" w:hAnsi="Times New Roman" w:eastAsia="宋体" w:cs="Times New Roman"/>
          <w:bCs/>
          <w:color w:val="auto"/>
          <w:spacing w:val="0"/>
          <w:sz w:val="18"/>
          <w:szCs w:val="18"/>
          <w:highlight w:val="none"/>
        </w:rPr>
        <w:tab/>
      </w:r>
      <w:r>
        <w:rPr>
          <w:rFonts w:hint="eastAsia" w:ascii="Times New Roman" w:hAnsi="Times New Roman" w:eastAsia="宋体" w:cs="Times New Roman"/>
          <w:bCs/>
          <w:color w:val="auto"/>
          <w:spacing w:val="0"/>
          <w:sz w:val="18"/>
          <w:szCs w:val="18"/>
          <w:highlight w:val="none"/>
        </w:rPr>
        <w:t>（6）</w:t>
      </w:r>
      <w:r>
        <w:rPr>
          <w:rFonts w:hint="eastAsia" w:ascii="Times New Roman" w:hAnsi="Times New Roman" w:eastAsia="宋体" w:cs="Times New Roman"/>
          <w:bCs/>
          <w:color w:val="auto"/>
          <w:sz w:val="18"/>
          <w:szCs w:val="18"/>
          <w:highlight w:val="none"/>
        </w:rPr>
        <w:t>QD18+QD08+QD09≤QD01</w:t>
      </w:r>
    </w:p>
    <w:p>
      <w:pPr>
        <w:adjustRightInd w:val="0"/>
        <w:snapToGrid w:val="0"/>
        <w:spacing w:line="280" w:lineRule="exact"/>
        <w:ind w:left="0" w:leftChars="0" w:firstLine="540" w:firstLineChars="300"/>
        <w:jc w:val="left"/>
        <w:rPr>
          <w:rFonts w:hint="eastAsia"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（7）QD06+QD07≤QD18</w:t>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（8）QD30</w:t>
      </w:r>
      <w:r>
        <w:rPr>
          <w:rFonts w:hint="eastAsia" w:ascii="Times New Roman" w:hAnsi="Times New Roman" w:eastAsia="宋体" w:cs="Times New Roman"/>
          <w:bCs/>
          <w:color w:val="auto"/>
          <w:spacing w:val="0"/>
          <w:sz w:val="18"/>
          <w:szCs w:val="18"/>
          <w:highlight w:val="none"/>
        </w:rPr>
        <w:t>≤</w:t>
      </w:r>
      <w:r>
        <w:rPr>
          <w:rFonts w:hint="eastAsia" w:ascii="Times New Roman" w:hAnsi="Times New Roman" w:eastAsia="宋体" w:cs="Times New Roman"/>
          <w:bCs/>
          <w:color w:val="auto"/>
          <w:sz w:val="18"/>
          <w:szCs w:val="18"/>
          <w:highlight w:val="none"/>
        </w:rPr>
        <w:t>QD01</w:t>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 xml:space="preserve">     （9）</w:t>
      </w:r>
      <w:r>
        <w:rPr>
          <w:rFonts w:ascii="Times New Roman" w:hAnsi="Times New Roman" w:eastAsia="宋体" w:cs="Calibri"/>
          <w:bCs/>
          <w:color w:val="auto"/>
          <w:sz w:val="18"/>
          <w:szCs w:val="24"/>
          <w:highlight w:val="none"/>
        </w:rPr>
        <w:t>QD14_0≤</w:t>
      </w:r>
      <w:r>
        <w:rPr>
          <w:rFonts w:ascii="Times New Roman" w:hAnsi="Times New Roman" w:eastAsia="宋体" w:cs="Calibri"/>
          <w:bCs/>
          <w:color w:val="auto"/>
          <w:spacing w:val="0"/>
          <w:sz w:val="18"/>
          <w:szCs w:val="24"/>
          <w:highlight w:val="none"/>
        </w:rPr>
        <w:t>QD14</w:t>
      </w:r>
    </w:p>
    <w:p>
      <w:pPr>
        <w:adjustRightInd w:val="0"/>
        <w:snapToGrid w:val="0"/>
        <w:spacing w:line="280" w:lineRule="exact"/>
        <w:ind w:left="0" w:leftChars="0" w:firstLine="540" w:firstLineChars="300"/>
        <w:jc w:val="left"/>
        <w:rPr>
          <w:rFonts w:hint="eastAsia"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（10）QD31=QD32+QD33+QD34+QD35+QD36</w:t>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rPr>
        <w:tab/>
      </w:r>
      <w:r>
        <w:rPr>
          <w:rFonts w:hint="eastAsia" w:ascii="Times New Roman" w:hAnsi="Times New Roman" w:eastAsia="宋体" w:cs="Times New Roman"/>
          <w:bCs/>
          <w:color w:val="auto"/>
          <w:sz w:val="18"/>
          <w:szCs w:val="18"/>
          <w:highlight w:val="none"/>
          <w:lang w:val="en-US" w:eastAsia="zh-CN"/>
        </w:rPr>
        <w:t xml:space="preserve">    </w:t>
      </w:r>
      <w:r>
        <w:rPr>
          <w:rFonts w:hint="eastAsia" w:ascii="Times New Roman" w:hAnsi="Times New Roman" w:eastAsia="宋体" w:cs="Times New Roman"/>
          <w:bCs/>
          <w:color w:val="auto"/>
          <w:sz w:val="18"/>
          <w:szCs w:val="18"/>
          <w:highlight w:val="none"/>
        </w:rPr>
        <w:t xml:space="preserve"> （11）QD27+QD28≤QD01</w:t>
      </w:r>
    </w:p>
    <w:p>
      <w:pPr>
        <w:tabs>
          <w:tab w:val="left" w:pos="753"/>
        </w:tabs>
        <w:snapToGrid w:val="0"/>
        <w:spacing w:line="320" w:lineRule="exact"/>
        <w:ind w:left="0" w:leftChars="0" w:firstLine="0" w:firstLineChars="0"/>
        <w:jc w:val="center"/>
        <w:rPr>
          <w:rFonts w:ascii="Times New Roman" w:hAnsi="Times New Roman"/>
          <w:b/>
          <w:color w:val="auto"/>
          <w:sz w:val="32"/>
          <w:szCs w:val="32"/>
          <w:highlight w:val="none"/>
        </w:rPr>
      </w:pPr>
      <w:r>
        <w:rPr>
          <w:rFonts w:cs="Calibri"/>
          <w:bCs/>
          <w:color w:val="auto"/>
          <w:spacing w:val="-8"/>
          <w:sz w:val="18"/>
          <w:szCs w:val="18"/>
          <w:highlight w:val="none"/>
        </w:rPr>
        <w:br w:type="page"/>
      </w:r>
      <w:r>
        <w:rPr>
          <w:rFonts w:hint="eastAsia" w:ascii="黑体" w:hAnsi="黑体" w:eastAsia="黑体" w:cs="黑体"/>
          <w:b w:val="0"/>
          <w:bCs/>
          <w:color w:val="auto"/>
          <w:kern w:val="0"/>
          <w:sz w:val="32"/>
          <w:szCs w:val="32"/>
          <w:highlight w:val="none"/>
        </w:rPr>
        <w:t>指标解释</w:t>
      </w:r>
    </w:p>
    <w:p>
      <w:pPr>
        <w:spacing w:line="400" w:lineRule="exact"/>
        <w:rPr>
          <w:rFonts w:ascii="Times New Roman" w:hAnsi="Times New Roman"/>
          <w:bCs/>
          <w:color w:val="auto"/>
          <w:highlight w:val="none"/>
        </w:rPr>
      </w:pPr>
    </w:p>
    <w:p>
      <w:pPr>
        <w:spacing w:line="400" w:lineRule="exact"/>
        <w:ind w:firstLine="420" w:firstLineChars="200"/>
        <w:rPr>
          <w:rFonts w:ascii="Times New Roman" w:hAnsi="Times New Roman"/>
          <w:bCs/>
          <w:color w:val="auto"/>
          <w:highlight w:val="none"/>
        </w:rPr>
      </w:pPr>
      <w:r>
        <w:rPr>
          <w:rFonts w:ascii="Times New Roman" w:hAnsi="Times New Roman" w:eastAsia="黑体"/>
          <w:bCs/>
          <w:color w:val="auto"/>
          <w:szCs w:val="21"/>
          <w:highlight w:val="none"/>
        </w:rPr>
        <w:t>从业人员期末人数</w:t>
      </w:r>
      <w:r>
        <w:rPr>
          <w:rFonts w:hint="eastAsia" w:ascii="Times New Roman" w:hAnsi="Times New Roman"/>
          <w:bCs/>
          <w:color w:val="auto"/>
          <w:highlight w:val="none"/>
        </w:rPr>
        <w:t>指年度最后一日在本单位工作，并取得工资或其他形式劳动报酬的人员数。该指标为时点指标，不包括最后一日当天及以前已经与单位解除劳动合同关系的人员，是在岗职工、劳务派遣人员及其他从业人员之和。其中不包括离开本单位仍保留劳动关系，并定期领取生活费的人员和在单位实习的各类在校学生。</w:t>
      </w:r>
    </w:p>
    <w:p>
      <w:pPr>
        <w:spacing w:line="360" w:lineRule="exact"/>
        <w:ind w:firstLine="420" w:firstLineChars="200"/>
        <w:rPr>
          <w:rFonts w:ascii="宋体" w:hAnsi="宋体"/>
          <w:color w:val="auto"/>
          <w:szCs w:val="21"/>
          <w:highlight w:val="none"/>
        </w:rPr>
      </w:pPr>
      <w:r>
        <w:rPr>
          <w:rFonts w:hint="eastAsia" w:ascii="黑体" w:hAnsi="宋体" w:eastAsia="黑体"/>
          <w:color w:val="auto"/>
          <w:szCs w:val="21"/>
          <w:highlight w:val="none"/>
        </w:rPr>
        <w:t>在岗职工</w:t>
      </w:r>
      <w:r>
        <w:rPr>
          <w:rFonts w:hint="eastAsia" w:ascii="宋体" w:hAnsi="宋体"/>
          <w:color w:val="auto"/>
          <w:szCs w:val="21"/>
          <w:highlight w:val="none"/>
        </w:rPr>
        <w:t>指在本单位工作且与本单位签订劳动合同，并由单位支付各项工资和社会保险、住房公积金的人员，以及上述人员中由于学习、病伤、产假等原因暂未工作仍由单位支付工资的人员。在岗职工还包括：</w:t>
      </w:r>
    </w:p>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1.应订立劳动合同而未订立劳动合同人员；</w:t>
      </w:r>
    </w:p>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2.处于试用期人员；</w:t>
      </w:r>
    </w:p>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3.编制外招用的人员，如临时人员；</w:t>
      </w:r>
    </w:p>
    <w:p>
      <w:pPr>
        <w:spacing w:line="400" w:lineRule="exact"/>
        <w:ind w:firstLine="420" w:firstLineChars="200"/>
        <w:rPr>
          <w:rFonts w:ascii="Times New Roman" w:hAnsi="Times New Roman"/>
          <w:bCs/>
          <w:color w:val="auto"/>
          <w:szCs w:val="21"/>
          <w:highlight w:val="none"/>
        </w:rPr>
      </w:pPr>
      <w:r>
        <w:rPr>
          <w:rFonts w:hint="eastAsia" w:ascii="宋体" w:hAnsi="宋体"/>
          <w:color w:val="auto"/>
          <w:szCs w:val="21"/>
          <w:highlight w:val="none"/>
        </w:rPr>
        <w:t>4.派往外单位工作，但工资或其他形式劳动报酬仍由本单位发放的人员</w:t>
      </w:r>
      <w:r>
        <w:rPr>
          <w:rFonts w:hint="eastAsia" w:ascii="宋体" w:hAnsi="宋体"/>
          <w:bCs/>
          <w:color w:val="auto"/>
          <w:szCs w:val="21"/>
          <w:highlight w:val="none"/>
        </w:rPr>
        <w:t>（如挂职锻炼、外派工作等情况）</w:t>
      </w:r>
      <w:r>
        <w:rPr>
          <w:rFonts w:hint="eastAsia" w:ascii="宋体" w:hAnsi="宋体"/>
          <w:color w:val="auto"/>
          <w:szCs w:val="21"/>
          <w:highlight w:val="none"/>
        </w:rPr>
        <w:t>。</w:t>
      </w:r>
    </w:p>
    <w:p>
      <w:pPr>
        <w:spacing w:line="400" w:lineRule="exact"/>
        <w:ind w:firstLine="420" w:firstLineChars="200"/>
        <w:rPr>
          <w:rFonts w:ascii="Times New Roman" w:hAnsi="Times New Roman"/>
          <w:bCs/>
          <w:color w:val="auto"/>
          <w:szCs w:val="21"/>
          <w:highlight w:val="none"/>
        </w:rPr>
      </w:pPr>
      <w:r>
        <w:rPr>
          <w:rFonts w:ascii="Times New Roman" w:hAnsi="Times New Roman"/>
          <w:bCs/>
          <w:color w:val="auto"/>
          <w:szCs w:val="21"/>
          <w:highlight w:val="none"/>
        </w:rPr>
        <w:t>在岗职工不包括：</w:t>
      </w:r>
    </w:p>
    <w:p>
      <w:pPr>
        <w:spacing w:line="400" w:lineRule="exact"/>
        <w:ind w:firstLine="420" w:firstLineChars="200"/>
        <w:rPr>
          <w:rFonts w:ascii="Times New Roman" w:hAnsi="Times New Roman"/>
          <w:bCs/>
          <w:color w:val="auto"/>
          <w:szCs w:val="21"/>
          <w:highlight w:val="none"/>
        </w:rPr>
      </w:pPr>
      <w:r>
        <w:rPr>
          <w:rFonts w:ascii="Times New Roman" w:hAnsi="Times New Roman"/>
          <w:bCs/>
          <w:color w:val="auto"/>
          <w:szCs w:val="21"/>
          <w:highlight w:val="none"/>
        </w:rPr>
        <w:t>（1）本单位使用的且由本单位直接支付工资的劳务派遣人员，应统计在本单位“劳务派遣人员”中；</w:t>
      </w:r>
    </w:p>
    <w:p>
      <w:pPr>
        <w:spacing w:line="400" w:lineRule="exact"/>
        <w:ind w:firstLine="420" w:firstLineChars="200"/>
        <w:rPr>
          <w:rFonts w:ascii="Times New Roman" w:hAnsi="Times New Roman"/>
          <w:bCs/>
          <w:color w:val="auto"/>
          <w:szCs w:val="21"/>
          <w:highlight w:val="none"/>
        </w:rPr>
      </w:pPr>
      <w:r>
        <w:rPr>
          <w:rFonts w:ascii="Times New Roman" w:hAnsi="Times New Roman"/>
          <w:bCs/>
          <w:color w:val="auto"/>
          <w:szCs w:val="21"/>
          <w:highlight w:val="none"/>
        </w:rPr>
        <w:t>（2）本单位以劳务外包形式使用的人员，由承包劳务的单位统计为在岗职工。</w:t>
      </w:r>
    </w:p>
    <w:p>
      <w:pPr>
        <w:spacing w:line="360" w:lineRule="exact"/>
        <w:ind w:firstLine="420" w:firstLineChars="200"/>
        <w:rPr>
          <w:rFonts w:hint="eastAsia" w:ascii="宋体" w:hAnsi="宋体"/>
          <w:b/>
          <w:bCs/>
          <w:color w:val="auto"/>
          <w:szCs w:val="21"/>
          <w:highlight w:val="none"/>
        </w:rPr>
      </w:pPr>
      <w:r>
        <w:rPr>
          <w:rFonts w:hint="eastAsia" w:ascii="黑体" w:hAnsi="宋体" w:eastAsia="黑体"/>
          <w:color w:val="auto"/>
          <w:szCs w:val="21"/>
          <w:highlight w:val="none"/>
        </w:rPr>
        <w:t>劳务派遣人员</w:t>
      </w:r>
      <w:r>
        <w:rPr>
          <w:rFonts w:hint="eastAsia" w:ascii="仿宋_GB2312" w:eastAsia="仿宋_GB2312"/>
          <w:color w:val="auto"/>
          <w:szCs w:val="21"/>
          <w:highlight w:val="none"/>
        </w:rPr>
        <w:t xml:space="preserve">  </w:t>
      </w:r>
      <w:r>
        <w:rPr>
          <w:rFonts w:hint="eastAsia" w:ascii="宋体" w:hAnsi="宋体"/>
          <w:color w:val="auto"/>
          <w:szCs w:val="21"/>
          <w:highlight w:val="none"/>
        </w:rPr>
        <w:t>根据《中华人民共和国劳动合同法》规定，指与劳务派遣单位签订劳动合同，并被劳务派遣单位派遣到实际用工单位工作，且劳务派遣单位与实际用工单位签订《劳务派遣协议》的人员。</w:t>
      </w:r>
    </w:p>
    <w:p>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劳务派遣人员</w:t>
      </w:r>
      <w:r>
        <w:rPr>
          <w:rFonts w:hint="eastAsia" w:ascii="宋体" w:hAnsi="宋体"/>
          <w:color w:val="auto"/>
          <w:szCs w:val="21"/>
          <w:highlight w:val="none"/>
        </w:rPr>
        <w:t>由实际用工单位</w:t>
      </w:r>
      <w:r>
        <w:rPr>
          <w:rFonts w:hint="eastAsia" w:ascii="宋体" w:hAnsi="宋体"/>
          <w:color w:val="auto"/>
          <w:szCs w:val="21"/>
          <w:highlight w:val="none"/>
          <w:lang w:eastAsia="zh-CN"/>
        </w:rPr>
        <w:t>统计为劳务派遣人员，</w:t>
      </w:r>
      <w:r>
        <w:rPr>
          <w:rFonts w:hint="eastAsia" w:ascii="宋体" w:hAnsi="宋体"/>
          <w:color w:val="auto"/>
          <w:szCs w:val="21"/>
          <w:highlight w:val="none"/>
        </w:rPr>
        <w:t>劳务派遣单位（派出单位）不</w:t>
      </w:r>
      <w:r>
        <w:rPr>
          <w:rFonts w:hint="eastAsia" w:ascii="宋体" w:hAnsi="宋体"/>
          <w:color w:val="auto"/>
          <w:szCs w:val="21"/>
          <w:highlight w:val="none"/>
          <w:lang w:eastAsia="zh-CN"/>
        </w:rPr>
        <w:t>进行统计</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劳务外包人员由承包劳务的法人单位统计为在岗职工</w:t>
      </w:r>
      <w:r>
        <w:rPr>
          <w:rFonts w:hint="eastAsia" w:ascii="宋体" w:hAnsi="宋体"/>
          <w:color w:val="auto"/>
          <w:szCs w:val="21"/>
          <w:highlight w:val="none"/>
          <w:lang w:eastAsia="zh-CN"/>
        </w:rPr>
        <w:t>，实际用工单位不进行统计</w:t>
      </w:r>
      <w:r>
        <w:rPr>
          <w:rFonts w:hint="eastAsia" w:ascii="宋体" w:hAnsi="宋体"/>
          <w:color w:val="auto"/>
          <w:szCs w:val="21"/>
          <w:highlight w:val="none"/>
        </w:rPr>
        <w:t>。如承包劳务的是个体经营户或自然人，均不包括在本制度统计范围内。</w:t>
      </w:r>
    </w:p>
    <w:p>
      <w:pPr>
        <w:spacing w:line="400" w:lineRule="exact"/>
        <w:ind w:firstLine="420" w:firstLineChars="200"/>
        <w:rPr>
          <w:bCs/>
          <w:color w:val="auto"/>
          <w:szCs w:val="21"/>
          <w:highlight w:val="none"/>
        </w:rPr>
      </w:pPr>
      <w:r>
        <w:rPr>
          <w:rFonts w:ascii="Times New Roman" w:hAnsi="Times New Roman" w:eastAsia="黑体"/>
          <w:bCs/>
          <w:color w:val="auto"/>
          <w:szCs w:val="21"/>
          <w:highlight w:val="none"/>
        </w:rPr>
        <w:t>其他从业人员</w:t>
      </w:r>
      <w:r>
        <w:rPr>
          <w:rFonts w:hint="eastAsia"/>
          <w:bCs/>
          <w:color w:val="auto"/>
          <w:szCs w:val="21"/>
          <w:highlight w:val="none"/>
        </w:rPr>
        <w:t>指在本单位工作，不能归入在岗职工、劳务派遣人员中的人员。此类人员是实际参加本单位生产或工作并从本单位取得劳动报酬的人员。具体包括：非全日制人员、聘用的正式离退休人员、兼职人员（包括利用课余时间打工的在校学生）以及在本单位中工作的外籍和港澳台方人员。</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留学归国人员</w:t>
      </w:r>
      <w:r>
        <w:rPr>
          <w:rFonts w:ascii="Times New Roman" w:hAnsi="Times New Roman"/>
          <w:bCs/>
          <w:color w:val="auto"/>
          <w:szCs w:val="21"/>
          <w:highlight w:val="none"/>
        </w:rPr>
        <w:t>指从业人员中出国学习、取得学位的归国人员。</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外籍常住人员</w:t>
      </w:r>
      <w:r>
        <w:rPr>
          <w:rFonts w:ascii="Times New Roman" w:hAnsi="Times New Roman"/>
          <w:bCs/>
          <w:color w:val="auto"/>
          <w:szCs w:val="21"/>
          <w:highlight w:val="none"/>
        </w:rPr>
        <w:t>指企业从业人员中在大陆连续居住半年以上的外籍人员数。</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引进外籍专家</w:t>
      </w:r>
      <w:r>
        <w:rPr>
          <w:rFonts w:ascii="Times New Roman" w:hAnsi="Times New Roman"/>
          <w:bCs/>
          <w:color w:val="auto"/>
          <w:szCs w:val="21"/>
          <w:highlight w:val="none"/>
        </w:rPr>
        <w:t>指企业引进的在企业从事专业技术、管理、教学、科研等工作的外籍专业技术人员，可以是掌握领先技术的高端专家、企业高管，也可以是有专门技能的专业技术人员。</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当年新增从业人员</w:t>
      </w:r>
      <w:r>
        <w:rPr>
          <w:rFonts w:ascii="Times New Roman" w:hAnsi="Times New Roman"/>
          <w:bCs/>
          <w:color w:val="auto"/>
          <w:szCs w:val="21"/>
          <w:highlight w:val="none"/>
        </w:rPr>
        <w:t>指报告期内企业新增录用的从业人员。</w:t>
      </w:r>
    </w:p>
    <w:p>
      <w:pPr>
        <w:spacing w:line="400" w:lineRule="exact"/>
        <w:ind w:firstLine="420" w:firstLineChars="200"/>
        <w:rPr>
          <w:bCs/>
          <w:color w:val="auto"/>
          <w:szCs w:val="21"/>
          <w:highlight w:val="none"/>
        </w:rPr>
      </w:pPr>
      <w:r>
        <w:rPr>
          <w:rFonts w:ascii="Times New Roman" w:hAnsi="Times New Roman" w:eastAsia="黑体"/>
          <w:bCs/>
          <w:color w:val="auto"/>
          <w:szCs w:val="21"/>
          <w:highlight w:val="none"/>
        </w:rPr>
        <w:t>当年吸纳高校应届毕业生</w:t>
      </w:r>
      <w:r>
        <w:rPr>
          <w:rFonts w:hint="eastAsia"/>
          <w:bCs/>
          <w:color w:val="auto"/>
          <w:szCs w:val="21"/>
          <w:highlight w:val="none"/>
        </w:rPr>
        <w:t>指报告期内企业当年在境内各类高校毕业生中招收的应届毕业生（包含国家承认的大专学历学生）。</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从事科研或科研辅助工作的应届毕业生</w:t>
      </w:r>
      <w:r>
        <w:rPr>
          <w:rFonts w:ascii="Times New Roman" w:hAnsi="Times New Roman"/>
          <w:bCs/>
          <w:color w:val="auto"/>
          <w:szCs w:val="21"/>
          <w:highlight w:val="none"/>
        </w:rPr>
        <w:t>指报告期内企业当年吸纳高校应届毕业生中主要从事科研或科研辅助工作的职工人数。</w:t>
      </w:r>
    </w:p>
    <w:p>
      <w:pPr>
        <w:spacing w:line="400" w:lineRule="exact"/>
        <w:ind w:firstLine="420" w:firstLineChars="200"/>
        <w:rPr>
          <w:rFonts w:hint="eastAsia" w:ascii="Times New Roman" w:hAnsi="Times New Roman"/>
          <w:bCs/>
          <w:color w:val="auto"/>
          <w:szCs w:val="21"/>
          <w:highlight w:val="none"/>
        </w:rPr>
      </w:pPr>
      <w:r>
        <w:rPr>
          <w:rFonts w:ascii="Times New Roman" w:hAnsi="Times New Roman" w:eastAsia="黑体"/>
          <w:bCs/>
          <w:color w:val="auto"/>
          <w:szCs w:val="21"/>
          <w:highlight w:val="none"/>
        </w:rPr>
        <w:t>从业人员平均人数</w:t>
      </w:r>
      <w:r>
        <w:rPr>
          <w:rFonts w:hint="eastAsia" w:ascii="Times New Roman" w:hAnsi="Times New Roman"/>
          <w:bCs/>
          <w:color w:val="auto"/>
          <w:szCs w:val="21"/>
          <w:highlight w:val="none"/>
        </w:rPr>
        <w:t>指月度或年度平均拥有的从业人员数。年度平均人数按单位实际月平均人数计算得到，不得用期末人数替代。</w:t>
      </w:r>
    </w:p>
    <w:p>
      <w:pPr>
        <w:spacing w:line="400" w:lineRule="exact"/>
        <w:ind w:firstLine="420" w:firstLineChars="200"/>
        <w:rPr>
          <w:rFonts w:hint="eastAsia" w:ascii="Times New Roman" w:hAnsi="Times New Roman"/>
          <w:bCs/>
          <w:color w:val="auto"/>
          <w:szCs w:val="21"/>
          <w:highlight w:val="none"/>
        </w:rPr>
      </w:pPr>
      <w:r>
        <w:rPr>
          <w:rFonts w:hint="eastAsia" w:ascii="宋体" w:hAnsi="宋体"/>
          <w:color w:val="auto"/>
          <w:szCs w:val="21"/>
          <w:highlight w:val="none"/>
        </w:rPr>
        <w:t>1.</w:t>
      </w:r>
      <w:r>
        <w:rPr>
          <w:rFonts w:hint="eastAsia" w:ascii="Times New Roman" w:hAnsi="Times New Roman"/>
          <w:bCs/>
          <w:color w:val="auto"/>
          <w:szCs w:val="21"/>
          <w:highlight w:val="none"/>
        </w:rPr>
        <w:t>月平均人数是以报告月内每天实有的全部人数之和，除以报告月的日历日数。计算公式为：</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月平均人数=报告月内每天实有的全部人数之和/ 报告月的日历日数</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对人员增减变动很小的单位，其月平均人数也可以用月初人数与月末人数之和除以2求得。计算公式为：</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月平均人数= (月初人数+月末人数) / 2</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在计算月平均人数时应注意：</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（1）公休日与节假日的人数应按放假前最后一个工作日的人数计算。</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（2）对新建立不满整月的单位（月中或月末建立），在计算报告月的平均人数时，应以其建立后各天实有人数之和，除以整月天数求得，而不能除以该单位建立的天数。</w:t>
      </w:r>
    </w:p>
    <w:p>
      <w:pPr>
        <w:spacing w:line="400" w:lineRule="exact"/>
        <w:ind w:firstLine="420" w:firstLineChars="200"/>
        <w:rPr>
          <w:rFonts w:hint="eastAsia" w:ascii="Times New Roman" w:hAnsi="Times New Roman"/>
          <w:bCs/>
          <w:color w:val="auto"/>
          <w:szCs w:val="21"/>
          <w:highlight w:val="none"/>
        </w:rPr>
      </w:pPr>
      <w:r>
        <w:rPr>
          <w:rFonts w:hint="eastAsia" w:ascii="宋体" w:hAnsi="宋体"/>
          <w:color w:val="auto"/>
          <w:szCs w:val="21"/>
          <w:highlight w:val="none"/>
        </w:rPr>
        <w:t>2.</w:t>
      </w:r>
      <w:r>
        <w:rPr>
          <w:rFonts w:hint="eastAsia" w:ascii="Times New Roman" w:hAnsi="Times New Roman"/>
          <w:bCs/>
          <w:color w:val="auto"/>
          <w:szCs w:val="21"/>
          <w:highlight w:val="none"/>
        </w:rPr>
        <w:t>年平均人数是以12个月的平均人数之和除以12求得。计算公式为：</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年平均人数=报告年内12个月平均人数之和/12</w:t>
      </w:r>
    </w:p>
    <w:p>
      <w:pPr>
        <w:spacing w:line="400" w:lineRule="exact"/>
        <w:ind w:firstLine="420" w:firstLineChars="200"/>
        <w:rPr>
          <w:rFonts w:hint="eastAsia" w:ascii="Times New Roman" w:hAnsi="Times New Roman"/>
          <w:bCs/>
          <w:color w:val="auto"/>
          <w:szCs w:val="21"/>
          <w:highlight w:val="none"/>
        </w:rPr>
      </w:pPr>
      <w:r>
        <w:rPr>
          <w:rFonts w:hint="eastAsia" w:ascii="Times New Roman" w:hAnsi="Times New Roman"/>
          <w:bCs/>
          <w:color w:val="auto"/>
          <w:szCs w:val="21"/>
          <w:highlight w:val="none"/>
        </w:rPr>
        <w:t>在年内新成立的单位年平均人数计算方法为：从实际开工之月起到年底的月平均人数相加除以12个月。计算公式为：</w:t>
      </w:r>
    </w:p>
    <w:p>
      <w:pPr>
        <w:spacing w:line="400" w:lineRule="exact"/>
        <w:ind w:firstLine="420" w:firstLineChars="200"/>
        <w:rPr>
          <w:rFonts w:ascii="Times New Roman" w:hAnsi="Times New Roman"/>
          <w:bCs/>
          <w:color w:val="auto"/>
          <w:szCs w:val="21"/>
          <w:highlight w:val="none"/>
        </w:rPr>
      </w:pPr>
      <w:r>
        <w:rPr>
          <w:rFonts w:hint="eastAsia" w:ascii="Times New Roman" w:hAnsi="Times New Roman"/>
          <w:bCs/>
          <w:color w:val="auto"/>
          <w:szCs w:val="21"/>
          <w:highlight w:val="none"/>
        </w:rPr>
        <w:t>年平均人数=(开工之月平均人数+…+12月平均人数)/12</w:t>
      </w:r>
    </w:p>
    <w:p>
      <w:pPr>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具有研究生学历（位）人员</w:t>
      </w:r>
      <w:bookmarkStart w:id="37" w:name="_Hlk121747336"/>
      <w:r>
        <w:rPr>
          <w:rFonts w:ascii="Times New Roman" w:hAnsi="Times New Roman"/>
          <w:bCs/>
          <w:color w:val="auto"/>
          <w:szCs w:val="21"/>
          <w:highlight w:val="none"/>
        </w:rPr>
        <w:t>指接受的最高一级教育为研究生教育并取得毕业证书或获得硕士、博士学位证书的人员，不包括肄业、结业、在读或辍学人员。</w:t>
      </w:r>
      <w:bookmarkEnd w:id="37"/>
    </w:p>
    <w:p>
      <w:pPr>
        <w:spacing w:line="400" w:lineRule="exact"/>
        <w:ind w:firstLine="420" w:firstLineChars="200"/>
        <w:jc w:val="left"/>
        <w:rPr>
          <w:rFonts w:ascii="Times New Roman" w:hAnsi="Times New Roman"/>
          <w:bCs/>
          <w:color w:val="auto"/>
          <w:sz w:val="24"/>
          <w:highlight w:val="none"/>
        </w:rPr>
      </w:pPr>
      <w:r>
        <w:rPr>
          <w:rFonts w:ascii="Times New Roman" w:hAnsi="Times New Roman" w:eastAsia="黑体"/>
          <w:bCs/>
          <w:color w:val="auto"/>
          <w:szCs w:val="21"/>
          <w:highlight w:val="none"/>
        </w:rPr>
        <w:t>具有大学本科学历（位）人员</w:t>
      </w:r>
      <w:r>
        <w:rPr>
          <w:rFonts w:ascii="Times New Roman" w:hAnsi="Times New Roman"/>
          <w:bCs/>
          <w:color w:val="auto"/>
          <w:szCs w:val="21"/>
          <w:highlight w:val="none"/>
        </w:rPr>
        <w:t>指接受的最高一级教育为大学本科教育并取得毕业证书或获得学士学位证书的人员，不包括肄业、结业、在读或辍学人员。</w:t>
      </w:r>
    </w:p>
    <w:p>
      <w:pPr>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具有大学专科学历人员</w:t>
      </w:r>
      <w:r>
        <w:rPr>
          <w:rFonts w:ascii="Times New Roman" w:hAnsi="Times New Roman"/>
          <w:bCs/>
          <w:color w:val="auto"/>
          <w:szCs w:val="21"/>
          <w:highlight w:val="none"/>
        </w:rPr>
        <w:t>指接受的最高一级教育为大学专科教育并取得毕业证书的人员，不包括肄业、结业、在读或辍学人员。</w:t>
      </w:r>
    </w:p>
    <w:p>
      <w:pPr>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技能人员</w:t>
      </w:r>
      <w:r>
        <w:rPr>
          <w:rFonts w:hint="eastAsia"/>
          <w:bCs/>
          <w:color w:val="auto"/>
          <w:szCs w:val="21"/>
          <w:highlight w:val="none"/>
        </w:rPr>
        <w:t>指在本单位管理岗位和专业技术岗位之外从事生产性或服务性工作，并持有国家职业资格证书的人员。在管理岗位和专业技术岗位工作的，无论是否持有国家职业资格证书，均不统计为技能人员。国家职业资格证书包括国家职业资格证书一级、二级、三级、四级、五级，同一个人持有两个及以上国家职业资格证书的，按最高等级证书认定。</w:t>
      </w:r>
    </w:p>
    <w:p>
      <w:pPr>
        <w:spacing w:line="400" w:lineRule="exact"/>
        <w:ind w:firstLine="420" w:firstLineChars="200"/>
        <w:jc w:val="left"/>
        <w:rPr>
          <w:rFonts w:ascii="Times New Roman" w:hAnsi="Times New Roman"/>
          <w:bCs/>
          <w:color w:val="auto"/>
          <w:sz w:val="24"/>
          <w:highlight w:val="none"/>
        </w:rPr>
      </w:pPr>
      <w:r>
        <w:rPr>
          <w:rFonts w:ascii="Times New Roman" w:hAnsi="Times New Roman" w:eastAsia="黑体"/>
          <w:bCs/>
          <w:color w:val="auto"/>
          <w:szCs w:val="21"/>
          <w:highlight w:val="none"/>
        </w:rPr>
        <w:t>高级技师（国家职业资格一级）</w:t>
      </w:r>
      <w:r>
        <w:rPr>
          <w:rFonts w:ascii="Times New Roman" w:hAnsi="Times New Roman"/>
          <w:bCs/>
          <w:color w:val="auto"/>
          <w:szCs w:val="21"/>
          <w:highlight w:val="none"/>
        </w:rPr>
        <w:t>指持有一级《国家职业资格证书》的人员。</w:t>
      </w:r>
    </w:p>
    <w:p>
      <w:pPr>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技师（国家职业资格二级）</w:t>
      </w:r>
      <w:r>
        <w:rPr>
          <w:rFonts w:ascii="Times New Roman" w:hAnsi="Times New Roman"/>
          <w:bCs/>
          <w:color w:val="auto"/>
          <w:szCs w:val="21"/>
          <w:highlight w:val="none"/>
        </w:rPr>
        <w:t>指持有二级《国家职业资格证书》的人员。</w:t>
      </w:r>
    </w:p>
    <w:p>
      <w:pPr>
        <w:spacing w:line="400" w:lineRule="exact"/>
        <w:ind w:firstLine="420" w:firstLineChars="200"/>
        <w:jc w:val="left"/>
        <w:rPr>
          <w:rFonts w:ascii="Times New Roman" w:hAnsi="Times New Roman"/>
          <w:bCs/>
          <w:color w:val="auto"/>
          <w:sz w:val="24"/>
          <w:highlight w:val="none"/>
        </w:rPr>
      </w:pPr>
      <w:r>
        <w:rPr>
          <w:rFonts w:ascii="Times New Roman" w:hAnsi="Times New Roman" w:eastAsia="黑体"/>
          <w:bCs/>
          <w:color w:val="auto"/>
          <w:szCs w:val="21"/>
          <w:highlight w:val="none"/>
        </w:rPr>
        <w:t>高级技能人员（国家职业资格三级）</w:t>
      </w:r>
      <w:r>
        <w:rPr>
          <w:rFonts w:ascii="Times New Roman" w:hAnsi="Times New Roman"/>
          <w:bCs/>
          <w:color w:val="auto"/>
          <w:szCs w:val="21"/>
          <w:highlight w:val="none"/>
        </w:rPr>
        <w:t>指持有三级《国家职业资格证书》的人员。</w:t>
      </w:r>
    </w:p>
    <w:p>
      <w:pPr>
        <w:spacing w:line="400" w:lineRule="exact"/>
        <w:ind w:firstLine="420" w:firstLineChars="200"/>
        <w:jc w:val="left"/>
        <w:rPr>
          <w:rFonts w:ascii="Times New Roman" w:hAnsi="Times New Roman"/>
          <w:bCs/>
          <w:color w:val="auto"/>
          <w:sz w:val="24"/>
          <w:highlight w:val="none"/>
        </w:rPr>
      </w:pPr>
      <w:r>
        <w:rPr>
          <w:rFonts w:ascii="Times New Roman" w:hAnsi="Times New Roman" w:eastAsia="黑体"/>
          <w:bCs/>
          <w:color w:val="auto"/>
          <w:szCs w:val="21"/>
          <w:highlight w:val="none"/>
        </w:rPr>
        <w:t>中级技能人员（国家职业资格四级）</w:t>
      </w:r>
      <w:r>
        <w:rPr>
          <w:rFonts w:ascii="Times New Roman" w:hAnsi="Times New Roman"/>
          <w:bCs/>
          <w:color w:val="auto"/>
          <w:szCs w:val="21"/>
          <w:highlight w:val="none"/>
        </w:rPr>
        <w:t>指持有四级《国家职业资格证书》的人员。</w:t>
      </w:r>
    </w:p>
    <w:p>
      <w:pPr>
        <w:spacing w:line="400" w:lineRule="exact"/>
        <w:ind w:firstLine="420" w:firstLineChars="200"/>
        <w:jc w:val="left"/>
        <w:rPr>
          <w:rFonts w:ascii="Times New Roman" w:hAnsi="Times New Roman" w:eastAsia="黑体"/>
          <w:bCs/>
          <w:color w:val="auto"/>
          <w:szCs w:val="21"/>
          <w:highlight w:val="none"/>
        </w:rPr>
      </w:pPr>
      <w:r>
        <w:rPr>
          <w:rFonts w:ascii="Times New Roman" w:hAnsi="Times New Roman" w:eastAsia="黑体"/>
          <w:bCs/>
          <w:color w:val="auto"/>
          <w:szCs w:val="21"/>
          <w:highlight w:val="none"/>
        </w:rPr>
        <w:t>初级技能人员（国家职业资格五级）</w:t>
      </w:r>
      <w:r>
        <w:rPr>
          <w:rFonts w:ascii="Times New Roman" w:hAnsi="Times New Roman"/>
          <w:bCs/>
          <w:color w:val="auto"/>
          <w:szCs w:val="21"/>
          <w:highlight w:val="none"/>
        </w:rPr>
        <w:t>指持有五级《国家职业资格证书》的人员</w:t>
      </w:r>
      <w:r>
        <w:rPr>
          <w:rFonts w:ascii="Times New Roman" w:hAnsi="Times New Roman" w:eastAsia="黑体"/>
          <w:bCs/>
          <w:color w:val="auto"/>
          <w:szCs w:val="21"/>
          <w:highlight w:val="none"/>
        </w:rPr>
        <w:t>。</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中层及以上管理人员</w:t>
      </w:r>
      <w:r>
        <w:rPr>
          <w:rFonts w:hint="eastAsia" w:ascii="Times New Roman" w:hAnsi="Times New Roman"/>
          <w:bCs/>
          <w:color w:val="auto"/>
          <w:szCs w:val="21"/>
          <w:highlight w:val="none"/>
        </w:rPr>
        <w:t>指在单位及其职能部门中担任领导职务并具有决策、管理权的人员。包括单位主要负责人或高级管理人员（包含同级别及副职）、单位内的一级部门或内设机构的负责人（包含同级别及副职），特大型单位可以包括一级部门内设的管理机构的负责人（包含副职）。具体包括中国共产党机关负责人员、国家机关负责人员、民主党派和工商联负责人员、人民团体和群众团体、社会组织及其他成员组织负责人员、基层群众自治组织负责人员、企事业单位负责人员。</w:t>
      </w:r>
    </w:p>
    <w:p>
      <w:pPr>
        <w:spacing w:line="400" w:lineRule="exact"/>
        <w:ind w:firstLine="420" w:firstLineChars="200"/>
        <w:rPr>
          <w:rFonts w:ascii="Times New Roman" w:hAnsi="Times New Roman"/>
          <w:bCs/>
          <w:color w:val="auto"/>
          <w:kern w:val="0"/>
          <w:highlight w:val="none"/>
        </w:rPr>
      </w:pPr>
      <w:r>
        <w:rPr>
          <w:rFonts w:ascii="Times New Roman" w:hAnsi="Times New Roman" w:eastAsia="黑体"/>
          <w:bCs/>
          <w:color w:val="auto"/>
          <w:szCs w:val="21"/>
          <w:highlight w:val="none"/>
        </w:rPr>
        <w:t>专业技术人员</w:t>
      </w:r>
      <w:r>
        <w:rPr>
          <w:rFonts w:hint="eastAsia" w:ascii="Times New Roman" w:hAnsi="Times New Roman"/>
          <w:bCs/>
          <w:color w:val="auto"/>
          <w:szCs w:val="21"/>
          <w:highlight w:val="none"/>
        </w:rPr>
        <w:t>指专门从事各种科学研究和专业技术工作的人员。从事本类职业工作的人员，一般都要求接受过系统的专业教育，具备相应的专业理论知识，并且按规定的标准条件评聘专业技术职务，以及未聘任专业技术职务，但在专业技术岗位上工作的人员。具体包括科学研究人员、工程技术人员、农业技术人员、飞机和船舶技术人员、卫生专业技术人员、经济和金融专业人员、法律、社会和宗教专业人员、教学人员、文学艺术、体育专业人员、新闻出版、文化专业人员、其他专业技术人员。</w:t>
      </w:r>
    </w:p>
    <w:p>
      <w:pPr>
        <w:pStyle w:val="3"/>
        <w:spacing w:line="240" w:lineRule="auto"/>
        <w:rPr>
          <w:rFonts w:ascii="Times New Roman" w:hAnsi="Times New Roman"/>
          <w:bCs w:val="0"/>
          <w:color w:val="auto"/>
          <w:sz w:val="28"/>
          <w:szCs w:val="28"/>
          <w:highlight w:val="none"/>
        </w:rPr>
      </w:pPr>
      <w:r>
        <w:rPr>
          <w:rFonts w:ascii="Times New Roman" w:hAnsi="Times New Roman"/>
          <w:b w:val="0"/>
          <w:color w:val="auto"/>
          <w:sz w:val="28"/>
          <w:szCs w:val="28"/>
          <w:highlight w:val="none"/>
        </w:rPr>
        <w:br w:type="page"/>
      </w:r>
      <w:bookmarkStart w:id="38" w:name="_Toc121734443"/>
      <w:r>
        <w:rPr>
          <w:rFonts w:ascii="Times New Roman" w:hAnsi="Times New Roman"/>
          <w:bCs w:val="0"/>
          <w:color w:val="auto"/>
          <w:sz w:val="28"/>
          <w:szCs w:val="28"/>
          <w:highlight w:val="none"/>
        </w:rPr>
        <w:t>研究开发项目概况</w:t>
      </w:r>
      <w:bookmarkEnd w:id="38"/>
    </w:p>
    <w:tbl>
      <w:tblPr>
        <w:tblStyle w:val="9"/>
        <w:tblW w:w="9699" w:type="dxa"/>
        <w:jc w:val="center"/>
        <w:tblLayout w:type="fixed"/>
        <w:tblCellMar>
          <w:top w:w="0" w:type="dxa"/>
          <w:left w:w="108" w:type="dxa"/>
          <w:bottom w:w="0" w:type="dxa"/>
          <w:right w:w="108" w:type="dxa"/>
        </w:tblCellMar>
      </w:tblPr>
      <w:tblGrid>
        <w:gridCol w:w="3283"/>
        <w:gridCol w:w="3462"/>
        <w:gridCol w:w="1037"/>
        <w:gridCol w:w="1917"/>
      </w:tblGrid>
      <w:tr>
        <w:tblPrEx>
          <w:tblCellMar>
            <w:top w:w="0" w:type="dxa"/>
            <w:left w:w="108" w:type="dxa"/>
            <w:bottom w:w="0" w:type="dxa"/>
            <w:right w:w="108" w:type="dxa"/>
          </w:tblCellMar>
        </w:tblPrEx>
        <w:trPr>
          <w:trHeight w:val="284" w:hRule="atLeast"/>
          <w:jc w:val="center"/>
        </w:trPr>
        <w:tc>
          <w:tcPr>
            <w:tcW w:w="6745" w:type="dxa"/>
            <w:gridSpan w:val="2"/>
            <w:noWrap w:val="0"/>
            <w:vAlign w:val="center"/>
          </w:tcPr>
          <w:p>
            <w:pPr>
              <w:snapToGrid w:val="0"/>
              <w:spacing w:line="240" w:lineRule="exact"/>
              <w:rPr>
                <w:rFonts w:ascii="Times New Roman" w:hAnsi="Times New Roman"/>
                <w:bCs/>
                <w:color w:val="auto"/>
                <w:sz w:val="18"/>
                <w:szCs w:val="24"/>
                <w:highlight w:val="none"/>
              </w:rPr>
            </w:pPr>
          </w:p>
        </w:tc>
        <w:tc>
          <w:tcPr>
            <w:tcW w:w="1037" w:type="dxa"/>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表号：</w:t>
            </w:r>
          </w:p>
        </w:tc>
        <w:tc>
          <w:tcPr>
            <w:tcW w:w="1917" w:type="dxa"/>
            <w:noWrap w:val="0"/>
            <w:vAlign w:val="center"/>
          </w:tcPr>
          <w:p>
            <w:pPr>
              <w:spacing w:line="240" w:lineRule="exact"/>
              <w:jc w:val="right"/>
              <w:rPr>
                <w:rFonts w:ascii="Times New Roman" w:hAnsi="Times New Roman"/>
                <w:bCs/>
                <w:color w:val="auto"/>
                <w:sz w:val="18"/>
                <w:szCs w:val="24"/>
                <w:highlight w:val="none"/>
              </w:rPr>
            </w:pPr>
            <w:r>
              <w:rPr>
                <w:rFonts w:ascii="Times New Roman" w:hAnsi="Times New Roman"/>
                <w:bCs/>
                <w:color w:val="auto"/>
                <w:sz w:val="18"/>
                <w:szCs w:val="18"/>
                <w:highlight w:val="none"/>
              </w:rPr>
              <w:t>ＧＱ－００４</w:t>
            </w:r>
            <w:r>
              <w:rPr>
                <w:rFonts w:ascii="Times New Roman" w:hAnsi="Times New Roman"/>
                <w:bCs/>
                <w:color w:val="auto"/>
                <w:sz w:val="18"/>
                <w:highlight w:val="none"/>
              </w:rPr>
              <w:t>表</w:t>
            </w:r>
          </w:p>
        </w:tc>
      </w:tr>
      <w:tr>
        <w:tblPrEx>
          <w:tblCellMar>
            <w:top w:w="0" w:type="dxa"/>
            <w:left w:w="108" w:type="dxa"/>
            <w:bottom w:w="0" w:type="dxa"/>
            <w:right w:w="108" w:type="dxa"/>
          </w:tblCellMar>
        </w:tblPrEx>
        <w:trPr>
          <w:trHeight w:val="284" w:hRule="atLeast"/>
          <w:jc w:val="center"/>
        </w:trPr>
        <w:tc>
          <w:tcPr>
            <w:tcW w:w="6745" w:type="dxa"/>
            <w:gridSpan w:val="2"/>
            <w:noWrap w:val="0"/>
            <w:vAlign w:val="center"/>
          </w:tcPr>
          <w:p>
            <w:pPr>
              <w:snapToGrid w:val="0"/>
              <w:spacing w:line="240" w:lineRule="exact"/>
              <w:rPr>
                <w:rFonts w:ascii="宋体" w:hAnsi="宋体"/>
                <w:bCs/>
                <w:color w:val="auto"/>
                <w:sz w:val="18"/>
                <w:szCs w:val="24"/>
                <w:highlight w:val="none"/>
              </w:rPr>
            </w:pPr>
          </w:p>
        </w:tc>
        <w:tc>
          <w:tcPr>
            <w:tcW w:w="1037" w:type="dxa"/>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制定机关：</w:t>
            </w:r>
          </w:p>
        </w:tc>
        <w:tc>
          <w:tcPr>
            <w:tcW w:w="1917" w:type="dxa"/>
            <w:noWrap w:val="0"/>
            <w:vAlign w:val="center"/>
          </w:tcPr>
          <w:p>
            <w:pPr>
              <w:spacing w:line="240" w:lineRule="exact"/>
              <w:jc w:val="right"/>
              <w:rPr>
                <w:rFonts w:ascii="Times New Roman" w:hAnsi="Times New Roman"/>
                <w:bCs/>
                <w:color w:val="auto"/>
                <w:sz w:val="18"/>
                <w:szCs w:val="24"/>
                <w:highlight w:val="none"/>
              </w:rPr>
            </w:pPr>
            <w:r>
              <w:rPr>
                <w:rFonts w:hint="eastAsia" w:ascii="Times New Roman" w:hAnsi="Times New Roman"/>
                <w:bCs/>
                <w:color w:val="auto"/>
                <w:sz w:val="18"/>
                <w:highlight w:val="none"/>
                <w:lang w:val="en-US" w:eastAsia="zh-CN"/>
              </w:rPr>
              <w:t>工业和信息化</w:t>
            </w:r>
            <w:r>
              <w:rPr>
                <w:rFonts w:ascii="Times New Roman" w:hAnsi="Times New Roman"/>
                <w:bCs/>
                <w:color w:val="auto"/>
                <w:sz w:val="18"/>
                <w:highlight w:val="none"/>
              </w:rPr>
              <w:t>部</w:t>
            </w:r>
          </w:p>
        </w:tc>
      </w:tr>
      <w:tr>
        <w:tblPrEx>
          <w:tblCellMar>
            <w:top w:w="0" w:type="dxa"/>
            <w:left w:w="108" w:type="dxa"/>
            <w:bottom w:w="0" w:type="dxa"/>
            <w:right w:w="108" w:type="dxa"/>
          </w:tblCellMar>
        </w:tblPrEx>
        <w:trPr>
          <w:trHeight w:val="284" w:hRule="atLeast"/>
          <w:jc w:val="center"/>
        </w:trPr>
        <w:tc>
          <w:tcPr>
            <w:tcW w:w="6745" w:type="dxa"/>
            <w:gridSpan w:val="2"/>
            <w:noWrap w:val="0"/>
            <w:vAlign w:val="center"/>
          </w:tcPr>
          <w:p>
            <w:pPr>
              <w:snapToGrid w:val="0"/>
              <w:spacing w:line="240" w:lineRule="exact"/>
              <w:rPr>
                <w:rFonts w:ascii="宋体" w:hAnsi="宋体"/>
                <w:bCs/>
                <w:color w:val="auto"/>
                <w:sz w:val="18"/>
                <w:szCs w:val="24"/>
                <w:highlight w:val="none"/>
              </w:rPr>
            </w:pPr>
          </w:p>
        </w:tc>
        <w:tc>
          <w:tcPr>
            <w:tcW w:w="1037" w:type="dxa"/>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批准机关：</w:t>
            </w:r>
          </w:p>
        </w:tc>
        <w:tc>
          <w:tcPr>
            <w:tcW w:w="1917" w:type="dxa"/>
            <w:noWrap w:val="0"/>
            <w:vAlign w:val="center"/>
          </w:tcPr>
          <w:p>
            <w:pPr>
              <w:spacing w:line="240" w:lineRule="exact"/>
              <w:jc w:val="right"/>
              <w:rPr>
                <w:rFonts w:ascii="Times New Roman" w:hAnsi="Times New Roman"/>
                <w:bCs/>
                <w:color w:val="auto"/>
                <w:sz w:val="18"/>
                <w:szCs w:val="24"/>
                <w:highlight w:val="none"/>
              </w:rPr>
            </w:pPr>
            <w:r>
              <w:rPr>
                <w:rFonts w:ascii="Times New Roman" w:hAnsi="Times New Roman"/>
                <w:bCs/>
                <w:color w:val="auto"/>
                <w:sz w:val="18"/>
                <w:highlight w:val="none"/>
              </w:rPr>
              <w:t>国家统计局</w:t>
            </w:r>
          </w:p>
        </w:tc>
      </w:tr>
      <w:tr>
        <w:tblPrEx>
          <w:tblCellMar>
            <w:top w:w="0" w:type="dxa"/>
            <w:left w:w="108" w:type="dxa"/>
            <w:bottom w:w="0" w:type="dxa"/>
            <w:right w:w="108" w:type="dxa"/>
          </w:tblCellMar>
        </w:tblPrEx>
        <w:trPr>
          <w:trHeight w:val="284" w:hRule="atLeast"/>
          <w:jc w:val="center"/>
        </w:trPr>
        <w:tc>
          <w:tcPr>
            <w:tcW w:w="6745" w:type="dxa"/>
            <w:gridSpan w:val="2"/>
            <w:noWrap w:val="0"/>
            <w:vAlign w:val="center"/>
          </w:tcPr>
          <w:p>
            <w:pPr>
              <w:snapToGrid w:val="0"/>
              <w:spacing w:line="240" w:lineRule="exact"/>
              <w:rPr>
                <w:rFonts w:ascii="宋体" w:hAnsi="宋体"/>
                <w:bCs/>
                <w:color w:val="auto"/>
                <w:sz w:val="18"/>
                <w:szCs w:val="24"/>
                <w:highlight w:val="none"/>
              </w:rPr>
            </w:pPr>
            <w:r>
              <w:rPr>
                <w:rFonts w:ascii="宋体" w:hAnsi="宋体"/>
                <w:bCs/>
                <w:color w:val="auto"/>
                <w:sz w:val="18"/>
                <w:szCs w:val="24"/>
                <w:highlight w:val="none"/>
              </w:rPr>
              <w:t>统一社会信用代码</w:t>
            </w:r>
            <w:r>
              <w:rPr>
                <w:rFonts w:ascii="宋体" w:hAnsi="宋体"/>
                <w:bCs/>
                <w:color w:val="auto"/>
                <w:sz w:val="18"/>
                <w:szCs w:val="18"/>
                <w:highlight w:val="none"/>
              </w:rPr>
              <w:t>□□□□□□□□□□□□□□□□□□</w:t>
            </w:r>
          </w:p>
        </w:tc>
        <w:tc>
          <w:tcPr>
            <w:tcW w:w="1037" w:type="dxa"/>
            <w:noWrap w:val="0"/>
            <w:vAlign w:val="center"/>
          </w:tcPr>
          <w:p>
            <w:pPr>
              <w:pStyle w:val="13"/>
              <w:tabs>
                <w:tab w:val="left" w:pos="730"/>
              </w:tabs>
              <w:autoSpaceDE/>
              <w:autoSpaceDN/>
              <w:adjustRightInd/>
              <w:spacing w:before="14" w:line="240" w:lineRule="exact"/>
              <w:jc w:val="both"/>
              <w:rPr>
                <w:rFonts w:ascii="Times New Roman" w:hAnsi="Times New Roman"/>
                <w:bCs/>
                <w:color w:val="auto"/>
                <w:sz w:val="18"/>
                <w:szCs w:val="18"/>
                <w:highlight w:val="none"/>
              </w:rPr>
            </w:pPr>
            <w:r>
              <w:rPr>
                <w:rFonts w:ascii="Times New Roman" w:hAnsi="Times New Roman"/>
                <w:bCs/>
                <w:color w:val="auto"/>
                <w:sz w:val="18"/>
                <w:szCs w:val="18"/>
                <w:highlight w:val="none"/>
              </w:rPr>
              <w:t>批准文号：</w:t>
            </w:r>
          </w:p>
        </w:tc>
        <w:tc>
          <w:tcPr>
            <w:tcW w:w="1917" w:type="dxa"/>
            <w:noWrap w:val="0"/>
            <w:vAlign w:val="center"/>
          </w:tcPr>
          <w:p>
            <w:pPr>
              <w:spacing w:line="240" w:lineRule="exact"/>
              <w:jc w:val="right"/>
              <w:rPr>
                <w:rFonts w:ascii="Times New Roman" w:hAnsi="Times New Roman"/>
                <w:bCs/>
                <w:color w:val="auto"/>
                <w:sz w:val="18"/>
                <w:szCs w:val="18"/>
                <w:highlight w:val="none"/>
              </w:rPr>
            </w:pPr>
            <w:r>
              <w:rPr>
                <w:rFonts w:ascii="Times New Roman" w:hAnsi="Times New Roman"/>
                <w:bCs/>
                <w:color w:val="auto"/>
                <w:sz w:val="18"/>
                <w:highlight w:val="none"/>
              </w:rPr>
              <w:t>国统制〔202</w:t>
            </w:r>
            <w:r>
              <w:rPr>
                <w:rFonts w:hint="eastAsia" w:ascii="Times New Roman" w:hAnsi="Times New Roman"/>
                <w:bCs/>
                <w:color w:val="auto"/>
                <w:sz w:val="18"/>
                <w:highlight w:val="none"/>
                <w:lang w:val="en-US" w:eastAsia="zh-CN"/>
              </w:rPr>
              <w:t>4</w:t>
            </w:r>
            <w:r>
              <w:rPr>
                <w:rFonts w:ascii="Times New Roman" w:hAnsi="Times New Roman"/>
                <w:bCs/>
                <w:color w:val="auto"/>
                <w:sz w:val="18"/>
                <w:highlight w:val="none"/>
              </w:rPr>
              <w:t>〕</w:t>
            </w:r>
            <w:r>
              <w:rPr>
                <w:rFonts w:hint="eastAsia" w:ascii="Times New Roman" w:hAnsi="Times New Roman"/>
                <w:bCs/>
                <w:color w:val="auto"/>
                <w:sz w:val="18"/>
                <w:highlight w:val="none"/>
                <w:lang w:val="en-US" w:eastAsia="zh-CN"/>
              </w:rPr>
              <w:t>187</w:t>
            </w:r>
            <w:r>
              <w:rPr>
                <w:rFonts w:ascii="Times New Roman" w:hAnsi="Times New Roman"/>
                <w:bCs/>
                <w:color w:val="auto"/>
                <w:sz w:val="18"/>
                <w:highlight w:val="none"/>
              </w:rPr>
              <w:t>号</w:t>
            </w:r>
          </w:p>
        </w:tc>
      </w:tr>
      <w:tr>
        <w:tblPrEx>
          <w:tblCellMar>
            <w:top w:w="0" w:type="dxa"/>
            <w:left w:w="108" w:type="dxa"/>
            <w:bottom w:w="0" w:type="dxa"/>
            <w:right w:w="108" w:type="dxa"/>
          </w:tblCellMar>
        </w:tblPrEx>
        <w:trPr>
          <w:trHeight w:val="284" w:hRule="atLeast"/>
          <w:jc w:val="center"/>
        </w:trPr>
        <w:tc>
          <w:tcPr>
            <w:tcW w:w="3283" w:type="dxa"/>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企业（单位）详细名称：</w:t>
            </w:r>
          </w:p>
        </w:tc>
        <w:tc>
          <w:tcPr>
            <w:tcW w:w="3462" w:type="dxa"/>
            <w:noWrap w:val="0"/>
            <w:vAlign w:val="center"/>
          </w:tcPr>
          <w:p>
            <w:pPr>
              <w:snapToGrid w:val="0"/>
              <w:spacing w:line="24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２０</w:t>
            </w:r>
            <w:r>
              <w:rPr>
                <w:rFonts w:hint="eastAsia"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rPr>
              <w:t>年</w:t>
            </w:r>
          </w:p>
        </w:tc>
        <w:tc>
          <w:tcPr>
            <w:tcW w:w="1037" w:type="dxa"/>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有效期至：</w:t>
            </w:r>
          </w:p>
        </w:tc>
        <w:tc>
          <w:tcPr>
            <w:tcW w:w="1917" w:type="dxa"/>
            <w:noWrap w:val="0"/>
            <w:vAlign w:val="center"/>
          </w:tcPr>
          <w:p>
            <w:pPr>
              <w:spacing w:line="240" w:lineRule="exact"/>
              <w:jc w:val="right"/>
              <w:rPr>
                <w:rFonts w:ascii="Times New Roman" w:hAnsi="Times New Roman"/>
                <w:bCs/>
                <w:color w:val="auto"/>
                <w:sz w:val="18"/>
                <w:szCs w:val="18"/>
                <w:highlight w:val="none"/>
              </w:rPr>
            </w:pPr>
            <w:r>
              <w:rPr>
                <w:rFonts w:hint="eastAsia" w:ascii="Times New Roman" w:hAnsi="Times New Roman"/>
                <w:bCs/>
                <w:color w:val="auto"/>
                <w:sz w:val="18"/>
                <w:szCs w:val="18"/>
                <w:highlight w:val="none"/>
                <w:lang w:val="en-US" w:eastAsia="zh-CN"/>
              </w:rPr>
              <w:t>2027</w:t>
            </w:r>
            <w:r>
              <w:rPr>
                <w:rFonts w:ascii="Times New Roman" w:hAnsi="Times New Roman"/>
                <w:bCs/>
                <w:color w:val="auto"/>
                <w:sz w:val="18"/>
                <w:highlight w:val="none"/>
              </w:rPr>
              <w:t>年</w:t>
            </w:r>
            <w:r>
              <w:rPr>
                <w:rFonts w:hint="eastAsia" w:ascii="Times New Roman" w:hAnsi="Times New Roman"/>
                <w:bCs/>
                <w:color w:val="auto"/>
                <w:sz w:val="18"/>
                <w:highlight w:val="none"/>
                <w:lang w:val="en-US" w:eastAsia="zh-CN"/>
              </w:rPr>
              <w:t>12</w:t>
            </w:r>
            <w:r>
              <w:rPr>
                <w:rFonts w:ascii="Times New Roman" w:hAnsi="Times New Roman"/>
                <w:bCs/>
                <w:color w:val="auto"/>
                <w:sz w:val="18"/>
                <w:highlight w:val="none"/>
              </w:rPr>
              <w:t>月</w:t>
            </w:r>
          </w:p>
        </w:tc>
      </w:tr>
    </w:tbl>
    <w:p>
      <w:pPr>
        <w:rPr>
          <w:rFonts w:ascii="Times New Roman" w:hAnsi="Times New Roman"/>
          <w:bCs/>
          <w:vanish/>
          <w:color w:val="auto"/>
          <w:szCs w:val="24"/>
          <w:highlight w:val="none"/>
        </w:rPr>
      </w:pPr>
    </w:p>
    <w:tbl>
      <w:tblPr>
        <w:tblStyle w:val="9"/>
        <w:tblW w:w="1044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78"/>
        <w:gridCol w:w="656"/>
        <w:gridCol w:w="686"/>
        <w:gridCol w:w="704"/>
        <w:gridCol w:w="704"/>
        <w:gridCol w:w="656"/>
        <w:gridCol w:w="687"/>
        <w:gridCol w:w="687"/>
        <w:gridCol w:w="755"/>
        <w:gridCol w:w="701"/>
        <w:gridCol w:w="744"/>
        <w:gridCol w:w="658"/>
        <w:gridCol w:w="656"/>
        <w:gridCol w:w="82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restart"/>
            <w:tcBorders>
              <w:top w:val="single" w:color="auto" w:sz="8"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序号</w:t>
            </w:r>
          </w:p>
        </w:tc>
        <w:tc>
          <w:tcPr>
            <w:tcW w:w="678" w:type="dxa"/>
            <w:vMerge w:val="restart"/>
            <w:tcBorders>
              <w:top w:val="single" w:color="auto" w:sz="8"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项目名称</w:t>
            </w:r>
          </w:p>
        </w:tc>
        <w:tc>
          <w:tcPr>
            <w:tcW w:w="656" w:type="dxa"/>
            <w:vMerge w:val="restart"/>
            <w:tcBorders>
              <w:top w:val="single" w:color="auto" w:sz="8"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w:t>
            </w:r>
          </w:p>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来源</w:t>
            </w:r>
          </w:p>
        </w:tc>
        <w:tc>
          <w:tcPr>
            <w:tcW w:w="686" w:type="dxa"/>
            <w:vMerge w:val="restart"/>
            <w:tcBorders>
              <w:top w:val="single" w:color="auto" w:sz="8"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项目开展形式</w:t>
            </w:r>
          </w:p>
        </w:tc>
        <w:tc>
          <w:tcPr>
            <w:tcW w:w="704" w:type="dxa"/>
            <w:vMerge w:val="restart"/>
            <w:tcBorders>
              <w:top w:val="single" w:color="auto" w:sz="8"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项目当年成果形式</w:t>
            </w:r>
          </w:p>
        </w:tc>
        <w:tc>
          <w:tcPr>
            <w:tcW w:w="704" w:type="dxa"/>
            <w:vMerge w:val="restart"/>
            <w:tcBorders>
              <w:top w:val="single" w:color="auto" w:sz="8"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项目技术经济目标</w:t>
            </w:r>
          </w:p>
        </w:tc>
        <w:tc>
          <w:tcPr>
            <w:tcW w:w="656" w:type="dxa"/>
            <w:vMerge w:val="restart"/>
            <w:tcBorders>
              <w:top w:val="single" w:color="auto" w:sz="8"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w:t>
            </w:r>
          </w:p>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活动</w:t>
            </w:r>
          </w:p>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类型</w:t>
            </w:r>
          </w:p>
        </w:tc>
        <w:tc>
          <w:tcPr>
            <w:tcW w:w="687" w:type="dxa"/>
            <w:vMerge w:val="restart"/>
            <w:tcBorders>
              <w:top w:val="single" w:color="auto" w:sz="8" w:space="0"/>
              <w:bottom w:val="single" w:color="auto" w:sz="4" w:space="0"/>
            </w:tcBorders>
            <w:noWrap w:val="0"/>
            <w:vAlign w:val="center"/>
          </w:tcPr>
          <w:p>
            <w:pPr>
              <w:widowControl/>
              <w:spacing w:line="280" w:lineRule="exact"/>
              <w:ind w:left="50" w:hanging="50" w:hangingChars="28"/>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项目起始日期</w:t>
            </w:r>
          </w:p>
        </w:tc>
        <w:tc>
          <w:tcPr>
            <w:tcW w:w="687" w:type="dxa"/>
            <w:vMerge w:val="restart"/>
            <w:tcBorders>
              <w:top w:val="single" w:color="auto" w:sz="8" w:space="0"/>
              <w:bottom w:val="single" w:color="auto" w:sz="4" w:space="0"/>
            </w:tcBorders>
            <w:noWrap w:val="0"/>
            <w:vAlign w:val="center"/>
          </w:tcPr>
          <w:p>
            <w:pPr>
              <w:widowControl/>
              <w:spacing w:line="280" w:lineRule="exact"/>
              <w:ind w:left="50" w:hanging="50" w:hangingChars="28"/>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项目完成日期</w:t>
            </w:r>
          </w:p>
        </w:tc>
        <w:tc>
          <w:tcPr>
            <w:tcW w:w="755" w:type="dxa"/>
            <w:vMerge w:val="restart"/>
            <w:tcBorders>
              <w:top w:val="single" w:color="auto" w:sz="8"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跨年项目当年所处主要进展阶段</w:t>
            </w:r>
          </w:p>
        </w:tc>
        <w:tc>
          <w:tcPr>
            <w:tcW w:w="701" w:type="dxa"/>
            <w:vMerge w:val="restart"/>
            <w:tcBorders>
              <w:top w:val="single" w:color="auto" w:sz="8"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项目研究开发人员</w:t>
            </w:r>
            <w:r>
              <w:rPr>
                <w:rFonts w:ascii="Times New Roman" w:hAnsi="Times New Roman"/>
                <w:bCs/>
                <w:color w:val="auto"/>
                <w:kern w:val="0"/>
                <w:sz w:val="18"/>
                <w:szCs w:val="18"/>
                <w:highlight w:val="none"/>
              </w:rPr>
              <w:t>(人)</w:t>
            </w:r>
          </w:p>
        </w:tc>
        <w:tc>
          <w:tcPr>
            <w:tcW w:w="744" w:type="dxa"/>
            <w:vMerge w:val="restart"/>
            <w:tcBorders>
              <w:top w:val="single" w:color="auto" w:sz="8" w:space="0"/>
              <w:bottom w:val="single" w:color="auto" w:sz="4" w:space="0"/>
            </w:tcBorders>
            <w:noWrap w:val="0"/>
            <w:vAlign w:val="center"/>
          </w:tcPr>
          <w:p>
            <w:pPr>
              <w:widowControl/>
              <w:spacing w:line="280" w:lineRule="exact"/>
              <w:ind w:left="20" w:hanging="19" w:hangingChars="11"/>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项目人员实际工作时间(人月)</w:t>
            </w:r>
          </w:p>
        </w:tc>
        <w:tc>
          <w:tcPr>
            <w:tcW w:w="658" w:type="dxa"/>
            <w:vMerge w:val="restart"/>
            <w:tcBorders>
              <w:top w:val="single" w:color="auto" w:sz="8" w:space="0"/>
              <w:bottom w:val="single" w:color="auto" w:sz="4" w:space="0"/>
              <w:right w:val="nil"/>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项目</w:t>
            </w:r>
          </w:p>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经费</w:t>
            </w:r>
          </w:p>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支出</w:t>
            </w:r>
          </w:p>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(千元)</w:t>
            </w:r>
          </w:p>
        </w:tc>
        <w:tc>
          <w:tcPr>
            <w:tcW w:w="656" w:type="dxa"/>
            <w:tcBorders>
              <w:top w:val="single" w:color="auto" w:sz="8" w:space="0"/>
              <w:left w:val="nil"/>
              <w:bottom w:val="single" w:color="auto" w:sz="4" w:space="0"/>
              <w:right w:val="nil"/>
            </w:tcBorders>
            <w:noWrap w:val="0"/>
            <w:vAlign w:val="center"/>
          </w:tcPr>
          <w:p>
            <w:pPr>
              <w:widowControl/>
              <w:spacing w:line="280" w:lineRule="exact"/>
              <w:jc w:val="center"/>
              <w:rPr>
                <w:rFonts w:ascii="Times New Roman" w:hAnsi="Times New Roman"/>
                <w:bCs/>
                <w:color w:val="auto"/>
                <w:kern w:val="0"/>
                <w:sz w:val="18"/>
                <w:szCs w:val="18"/>
                <w:highlight w:val="none"/>
              </w:rPr>
            </w:pPr>
          </w:p>
        </w:tc>
        <w:tc>
          <w:tcPr>
            <w:tcW w:w="820" w:type="dxa"/>
            <w:tcBorders>
              <w:top w:val="single" w:color="auto" w:sz="8" w:space="0"/>
              <w:left w:val="nil"/>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tcBorders>
              <w:top w:val="single" w:color="auto" w:sz="4"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c>
          <w:tcPr>
            <w:tcW w:w="678" w:type="dxa"/>
            <w:vMerge w:val="continue"/>
            <w:tcBorders>
              <w:top w:val="single" w:color="auto" w:sz="4"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c>
          <w:tcPr>
            <w:tcW w:w="656" w:type="dxa"/>
            <w:vMerge w:val="continue"/>
            <w:tcBorders>
              <w:top w:val="single" w:color="auto" w:sz="4" w:space="0"/>
              <w:bottom w:val="single" w:color="auto" w:sz="4" w:space="0"/>
            </w:tcBorders>
            <w:noWrap w:val="0"/>
            <w:vAlign w:val="center"/>
          </w:tcPr>
          <w:p>
            <w:pPr>
              <w:widowControl/>
              <w:spacing w:line="280" w:lineRule="exact"/>
              <w:rPr>
                <w:rFonts w:ascii="Times New Roman" w:hAnsi="Times New Roman"/>
                <w:bCs/>
                <w:color w:val="auto"/>
                <w:kern w:val="0"/>
                <w:sz w:val="18"/>
                <w:szCs w:val="18"/>
                <w:highlight w:val="none"/>
              </w:rPr>
            </w:pPr>
          </w:p>
        </w:tc>
        <w:tc>
          <w:tcPr>
            <w:tcW w:w="686" w:type="dxa"/>
            <w:vMerge w:val="continue"/>
            <w:tcBorders>
              <w:top w:val="single" w:color="auto" w:sz="4"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c>
          <w:tcPr>
            <w:tcW w:w="704" w:type="dxa"/>
            <w:vMerge w:val="continue"/>
            <w:tcBorders>
              <w:top w:val="single" w:color="auto" w:sz="4"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c>
          <w:tcPr>
            <w:tcW w:w="704" w:type="dxa"/>
            <w:vMerge w:val="continue"/>
            <w:tcBorders>
              <w:top w:val="single" w:color="auto" w:sz="4" w:space="0"/>
              <w:bottom w:val="single" w:color="auto" w:sz="4" w:space="0"/>
            </w:tcBorders>
            <w:noWrap w:val="0"/>
            <w:vAlign w:val="center"/>
          </w:tcPr>
          <w:p>
            <w:pPr>
              <w:widowControl/>
              <w:spacing w:line="280" w:lineRule="exact"/>
              <w:ind w:firstLine="86" w:firstLineChars="48"/>
              <w:jc w:val="center"/>
              <w:rPr>
                <w:rFonts w:ascii="Times New Roman" w:hAnsi="Times New Roman"/>
                <w:bCs/>
                <w:color w:val="auto"/>
                <w:kern w:val="0"/>
                <w:sz w:val="18"/>
                <w:szCs w:val="18"/>
                <w:highlight w:val="none"/>
              </w:rPr>
            </w:pPr>
          </w:p>
        </w:tc>
        <w:tc>
          <w:tcPr>
            <w:tcW w:w="656" w:type="dxa"/>
            <w:vMerge w:val="continue"/>
            <w:tcBorders>
              <w:top w:val="single" w:color="auto" w:sz="4"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c>
          <w:tcPr>
            <w:tcW w:w="687" w:type="dxa"/>
            <w:vMerge w:val="continue"/>
            <w:tcBorders>
              <w:top w:val="single" w:color="auto" w:sz="4" w:space="0"/>
              <w:bottom w:val="single" w:color="auto" w:sz="4" w:space="0"/>
            </w:tcBorders>
            <w:noWrap w:val="0"/>
            <w:vAlign w:val="center"/>
          </w:tcPr>
          <w:p>
            <w:pPr>
              <w:widowControl/>
              <w:spacing w:line="280" w:lineRule="exact"/>
              <w:ind w:left="50" w:hanging="50" w:hangingChars="28"/>
              <w:jc w:val="center"/>
              <w:rPr>
                <w:rFonts w:ascii="Times New Roman" w:hAnsi="Times New Roman"/>
                <w:bCs/>
                <w:color w:val="auto"/>
                <w:kern w:val="0"/>
                <w:sz w:val="18"/>
                <w:szCs w:val="18"/>
                <w:highlight w:val="none"/>
              </w:rPr>
            </w:pPr>
          </w:p>
        </w:tc>
        <w:tc>
          <w:tcPr>
            <w:tcW w:w="687" w:type="dxa"/>
            <w:vMerge w:val="continue"/>
            <w:tcBorders>
              <w:top w:val="single" w:color="auto" w:sz="4" w:space="0"/>
              <w:bottom w:val="single" w:color="auto" w:sz="4" w:space="0"/>
            </w:tcBorders>
            <w:noWrap w:val="0"/>
            <w:vAlign w:val="center"/>
          </w:tcPr>
          <w:p>
            <w:pPr>
              <w:widowControl/>
              <w:spacing w:line="280" w:lineRule="exact"/>
              <w:ind w:hanging="1"/>
              <w:jc w:val="center"/>
              <w:rPr>
                <w:rFonts w:ascii="Times New Roman" w:hAnsi="Times New Roman"/>
                <w:bCs/>
                <w:color w:val="auto"/>
                <w:kern w:val="0"/>
                <w:sz w:val="18"/>
                <w:szCs w:val="18"/>
                <w:highlight w:val="none"/>
              </w:rPr>
            </w:pPr>
          </w:p>
        </w:tc>
        <w:tc>
          <w:tcPr>
            <w:tcW w:w="755" w:type="dxa"/>
            <w:vMerge w:val="continue"/>
            <w:tcBorders>
              <w:top w:val="single" w:color="auto" w:sz="4"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c>
          <w:tcPr>
            <w:tcW w:w="701" w:type="dxa"/>
            <w:vMerge w:val="continue"/>
            <w:tcBorders>
              <w:top w:val="single" w:color="auto" w:sz="4"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c>
          <w:tcPr>
            <w:tcW w:w="744" w:type="dxa"/>
            <w:vMerge w:val="continue"/>
            <w:tcBorders>
              <w:top w:val="single" w:color="auto" w:sz="4" w:space="0"/>
              <w:bottom w:val="single" w:color="auto" w:sz="4" w:space="0"/>
            </w:tcBorders>
            <w:noWrap w:val="0"/>
            <w:vAlign w:val="center"/>
          </w:tcPr>
          <w:p>
            <w:pPr>
              <w:widowControl/>
              <w:spacing w:line="280" w:lineRule="exact"/>
              <w:ind w:left="20" w:hanging="19" w:hangingChars="11"/>
              <w:jc w:val="center"/>
              <w:rPr>
                <w:rFonts w:ascii="Times New Roman" w:hAnsi="Times New Roman"/>
                <w:bCs/>
                <w:color w:val="auto"/>
                <w:kern w:val="0"/>
                <w:sz w:val="18"/>
                <w:szCs w:val="18"/>
                <w:highlight w:val="none"/>
              </w:rPr>
            </w:pPr>
          </w:p>
        </w:tc>
        <w:tc>
          <w:tcPr>
            <w:tcW w:w="658" w:type="dxa"/>
            <w:vMerge w:val="continue"/>
            <w:tcBorders>
              <w:top w:val="single" w:color="auto" w:sz="4" w:space="0"/>
              <w:bottom w:val="single" w:color="auto" w:sz="4" w:space="0"/>
              <w:right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c>
          <w:tcPr>
            <w:tcW w:w="656" w:type="dxa"/>
            <w:vMerge w:val="restart"/>
            <w:tcBorders>
              <w:top w:val="single" w:color="auto" w:sz="4" w:space="0"/>
              <w:left w:val="single" w:color="auto" w:sz="4" w:space="0"/>
              <w:right w:val="nil"/>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政府</w:t>
            </w:r>
          </w:p>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资金</w:t>
            </w:r>
          </w:p>
        </w:tc>
        <w:tc>
          <w:tcPr>
            <w:tcW w:w="820" w:type="dxa"/>
            <w:tcBorders>
              <w:top w:val="single" w:color="auto" w:sz="4" w:space="0"/>
              <w:left w:val="nil"/>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678"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656"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686"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704"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704"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656"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687"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687"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755"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701"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744" w:type="dxa"/>
            <w:vMerge w:val="continue"/>
            <w:tcBorders>
              <w:bottom w:val="single" w:color="auto" w:sz="4" w:space="0"/>
            </w:tcBorders>
            <w:noWrap w:val="0"/>
            <w:vAlign w:val="center"/>
          </w:tcPr>
          <w:p>
            <w:pPr>
              <w:widowControl/>
              <w:spacing w:line="280" w:lineRule="exact"/>
              <w:jc w:val="center"/>
              <w:rPr>
                <w:color w:val="auto"/>
                <w:highlight w:val="none"/>
              </w:rPr>
            </w:pPr>
          </w:p>
        </w:tc>
        <w:tc>
          <w:tcPr>
            <w:tcW w:w="658" w:type="dxa"/>
            <w:vMerge w:val="continue"/>
            <w:tcBorders>
              <w:bottom w:val="single" w:color="auto" w:sz="4" w:space="0"/>
              <w:right w:val="single" w:color="auto" w:sz="4" w:space="0"/>
            </w:tcBorders>
            <w:noWrap w:val="0"/>
            <w:vAlign w:val="center"/>
          </w:tcPr>
          <w:p>
            <w:pPr>
              <w:widowControl/>
              <w:spacing w:line="280" w:lineRule="exact"/>
              <w:jc w:val="center"/>
              <w:rPr>
                <w:color w:val="auto"/>
                <w:highlight w:val="none"/>
              </w:rPr>
            </w:pPr>
          </w:p>
        </w:tc>
        <w:tc>
          <w:tcPr>
            <w:tcW w:w="656" w:type="dxa"/>
            <w:vMerge w:val="continue"/>
            <w:tcBorders>
              <w:left w:val="single" w:color="auto" w:sz="4" w:space="0"/>
              <w:bottom w:val="single" w:color="auto" w:sz="4" w:space="0"/>
            </w:tcBorders>
            <w:noWrap w:val="0"/>
            <w:vAlign w:val="center"/>
          </w:tcPr>
          <w:p>
            <w:pPr>
              <w:widowControl/>
              <w:spacing w:line="280" w:lineRule="exact"/>
              <w:jc w:val="center"/>
              <w:rPr>
                <w:color w:val="auto"/>
                <w:highlight w:val="none"/>
              </w:rPr>
            </w:pPr>
          </w:p>
        </w:tc>
        <w:tc>
          <w:tcPr>
            <w:tcW w:w="820" w:type="dxa"/>
            <w:tcBorders>
              <w:top w:val="nil"/>
              <w:left w:val="single" w:color="auto" w:sz="4" w:space="0"/>
              <w:bottom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hint="eastAsia" w:ascii="Times New Roman" w:hAnsi="Times New Roman"/>
                <w:bCs/>
                <w:color w:val="auto"/>
                <w:kern w:val="0"/>
                <w:sz w:val="18"/>
                <w:szCs w:val="18"/>
                <w:highlight w:val="none"/>
              </w:rPr>
              <w:t>国家级科技项目资金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QH00</w:t>
            </w:r>
          </w:p>
        </w:tc>
        <w:tc>
          <w:tcPr>
            <w:tcW w:w="678"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xmmc</w:t>
            </w:r>
          </w:p>
        </w:tc>
        <w:tc>
          <w:tcPr>
            <w:tcW w:w="656"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QH11</w:t>
            </w:r>
          </w:p>
        </w:tc>
        <w:tc>
          <w:tcPr>
            <w:tcW w:w="686"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QH31</w:t>
            </w:r>
          </w:p>
        </w:tc>
        <w:tc>
          <w:tcPr>
            <w:tcW w:w="704"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QH21</w:t>
            </w:r>
          </w:p>
        </w:tc>
        <w:tc>
          <w:tcPr>
            <w:tcW w:w="704"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QH32</w:t>
            </w:r>
          </w:p>
        </w:tc>
        <w:tc>
          <w:tcPr>
            <w:tcW w:w="656"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QH33</w:t>
            </w:r>
          </w:p>
        </w:tc>
        <w:tc>
          <w:tcPr>
            <w:tcW w:w="687"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QH34</w:t>
            </w:r>
          </w:p>
        </w:tc>
        <w:tc>
          <w:tcPr>
            <w:tcW w:w="687"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QH35</w:t>
            </w:r>
          </w:p>
        </w:tc>
        <w:tc>
          <w:tcPr>
            <w:tcW w:w="755"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QH36</w:t>
            </w:r>
          </w:p>
        </w:tc>
        <w:tc>
          <w:tcPr>
            <w:tcW w:w="701"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QH44</w:t>
            </w:r>
          </w:p>
        </w:tc>
        <w:tc>
          <w:tcPr>
            <w:tcW w:w="744"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QH40</w:t>
            </w:r>
          </w:p>
        </w:tc>
        <w:tc>
          <w:tcPr>
            <w:tcW w:w="658"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QH51</w:t>
            </w:r>
          </w:p>
        </w:tc>
        <w:tc>
          <w:tcPr>
            <w:tcW w:w="656"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QH52</w:t>
            </w:r>
          </w:p>
        </w:tc>
        <w:tc>
          <w:tcPr>
            <w:tcW w:w="820" w:type="dxa"/>
            <w:tcBorders>
              <w:top w:val="single" w:color="auto" w:sz="4" w:space="0"/>
              <w:bottom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QH5</w:t>
            </w:r>
            <w:r>
              <w:rPr>
                <w:rFonts w:hint="eastAsia" w:cs="Calibri"/>
                <w:bCs/>
                <w:color w:val="auto"/>
                <w:kern w:val="0"/>
                <w:sz w:val="18"/>
                <w:szCs w:val="18"/>
                <w:highlight w:val="none"/>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78"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55"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1"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4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8"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820"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78"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55"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1"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4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8"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820"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78"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55"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1"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4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8"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820"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78"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55"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01"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744"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8"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c>
          <w:tcPr>
            <w:tcW w:w="820" w:type="dxa"/>
            <w:tcBorders>
              <w:top w:val="single" w:color="auto" w:sz="4" w:space="0"/>
              <w:bottom w:val="single" w:color="auto" w:sz="4" w:space="0"/>
            </w:tcBorders>
            <w:noWrap w:val="0"/>
            <w:vAlign w:val="top"/>
          </w:tcPr>
          <w:p>
            <w:pPr>
              <w:widowControl/>
              <w:spacing w:line="280" w:lineRule="exact"/>
              <w:rPr>
                <w:rFonts w:ascii="Times New Roman" w:hAnsi="Times New Roman"/>
                <w:bCs/>
                <w:color w:val="auto"/>
                <w:kern w:val="0"/>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678"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686"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704"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687"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755"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701"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744"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658"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656"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c>
          <w:tcPr>
            <w:tcW w:w="820" w:type="dxa"/>
            <w:tcBorders>
              <w:top w:val="single" w:color="auto" w:sz="4" w:space="0"/>
              <w:bottom w:val="single" w:color="auto" w:sz="8" w:space="0"/>
            </w:tcBorders>
            <w:noWrap w:val="0"/>
            <w:vAlign w:val="top"/>
          </w:tcPr>
          <w:p>
            <w:pPr>
              <w:widowControl/>
              <w:spacing w:line="280" w:lineRule="exact"/>
              <w:rPr>
                <w:rFonts w:ascii="Times New Roman" w:hAnsi="Times New Roman"/>
                <w:bCs/>
                <w:color w:val="auto"/>
                <w:kern w:val="0"/>
                <w:szCs w:val="21"/>
                <w:highlight w:val="none"/>
              </w:rPr>
            </w:pPr>
          </w:p>
        </w:tc>
      </w:tr>
    </w:tbl>
    <w:p>
      <w:pPr>
        <w:spacing w:line="280" w:lineRule="exact"/>
        <w:rPr>
          <w:rFonts w:ascii="Times New Roman" w:hAnsi="Times New Roman"/>
          <w:bCs/>
          <w:color w:val="auto"/>
          <w:sz w:val="18"/>
          <w:szCs w:val="24"/>
          <w:highlight w:val="none"/>
        </w:rPr>
      </w:pPr>
      <w:r>
        <w:rPr>
          <w:rFonts w:hint="eastAsia"/>
          <w:bCs/>
          <w:color w:val="auto"/>
          <w:sz w:val="18"/>
          <w:highlight w:val="none"/>
        </w:rPr>
        <w:t>单位负责人: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统计负责人: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填表人: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 xml:space="preserve"> 联系电话:</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报出日期:20</w:t>
      </w:r>
      <w:r>
        <w:rPr>
          <w:rFonts w:hint="eastAsia"/>
          <w:bCs/>
          <w:color w:val="auto"/>
          <w:sz w:val="18"/>
          <w:highlight w:val="none"/>
          <w:u w:val="single"/>
        </w:rPr>
        <w:t xml:space="preserve">  </w:t>
      </w:r>
      <w:r>
        <w:rPr>
          <w:rFonts w:hint="eastAsia"/>
          <w:bCs/>
          <w:color w:val="auto"/>
          <w:sz w:val="18"/>
          <w:highlight w:val="none"/>
        </w:rPr>
        <w:t>年</w:t>
      </w:r>
      <w:r>
        <w:rPr>
          <w:rFonts w:hint="eastAsia"/>
          <w:bCs/>
          <w:color w:val="auto"/>
          <w:sz w:val="18"/>
          <w:highlight w:val="none"/>
          <w:u w:val="single"/>
        </w:rPr>
        <w:t xml:space="preserve">  </w:t>
      </w:r>
      <w:r>
        <w:rPr>
          <w:rFonts w:hint="eastAsia"/>
          <w:bCs/>
          <w:color w:val="auto"/>
          <w:sz w:val="18"/>
          <w:highlight w:val="none"/>
        </w:rPr>
        <w:t>月</w:t>
      </w:r>
      <w:r>
        <w:rPr>
          <w:rFonts w:hint="eastAsia"/>
          <w:bCs/>
          <w:color w:val="auto"/>
          <w:sz w:val="18"/>
          <w:highlight w:val="none"/>
          <w:u w:val="single"/>
        </w:rPr>
        <w:t xml:space="preserve">  </w:t>
      </w:r>
      <w:r>
        <w:rPr>
          <w:rFonts w:hint="eastAsia"/>
          <w:bCs/>
          <w:color w:val="auto"/>
          <w:sz w:val="18"/>
          <w:highlight w:val="none"/>
        </w:rPr>
        <w:t>日</w:t>
      </w:r>
    </w:p>
    <w:p>
      <w:pPr>
        <w:spacing w:line="240" w:lineRule="exact"/>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 xml:space="preserve"> </w:t>
      </w:r>
    </w:p>
    <w:p>
      <w:pPr>
        <w:spacing w:line="360" w:lineRule="exact"/>
        <w:rPr>
          <w:rFonts w:ascii="Times New Roman" w:hAnsi="Times New Roman"/>
          <w:bCs/>
          <w:color w:val="auto"/>
          <w:sz w:val="18"/>
          <w:szCs w:val="24"/>
          <w:highlight w:val="none"/>
        </w:rPr>
      </w:pPr>
      <w:r>
        <w:rPr>
          <w:rFonts w:ascii="Times New Roman" w:hAnsi="Times New Roman"/>
          <w:bCs/>
          <w:color w:val="auto"/>
          <w:sz w:val="18"/>
          <w:szCs w:val="24"/>
          <w:highlight w:val="none"/>
        </w:rPr>
        <w:t>说明：1.本表由企业填报全部研究开发项目情况。</w:t>
      </w:r>
    </w:p>
    <w:p>
      <w:pPr>
        <w:spacing w:line="360" w:lineRule="exact"/>
        <w:ind w:firstLine="540" w:firstLineChars="300"/>
        <w:rPr>
          <w:rFonts w:ascii="Times New Roman" w:hAnsi="Times New Roman"/>
          <w:bCs/>
          <w:color w:val="auto"/>
          <w:sz w:val="18"/>
          <w:szCs w:val="24"/>
          <w:highlight w:val="none"/>
        </w:rPr>
      </w:pPr>
      <w:r>
        <w:rPr>
          <w:rFonts w:ascii="Times New Roman" w:hAnsi="Times New Roman"/>
          <w:bCs/>
          <w:color w:val="auto"/>
          <w:sz w:val="18"/>
          <w:szCs w:val="24"/>
          <w:highlight w:val="none"/>
        </w:rPr>
        <w:t>2.审核关系：</w:t>
      </w:r>
    </w:p>
    <w:p>
      <w:pPr>
        <w:spacing w:line="360" w:lineRule="exact"/>
        <w:ind w:firstLine="630" w:firstLineChars="350"/>
        <w:rPr>
          <w:bCs/>
          <w:color w:val="auto"/>
          <w:sz w:val="18"/>
          <w:szCs w:val="24"/>
          <w:highlight w:val="none"/>
        </w:rPr>
      </w:pPr>
      <w:r>
        <w:rPr>
          <w:bCs/>
          <w:color w:val="auto"/>
          <w:sz w:val="18"/>
          <w:szCs w:val="24"/>
          <w:highlight w:val="none"/>
        </w:rPr>
        <w:t>表内审核：</w:t>
      </w:r>
    </w:p>
    <w:p>
      <w:pPr>
        <w:spacing w:line="320" w:lineRule="exact"/>
        <w:ind w:left="525" w:leftChars="250"/>
        <w:rPr>
          <w:rFonts w:cs="Calibri"/>
          <w:bCs/>
          <w:color w:val="auto"/>
          <w:sz w:val="18"/>
          <w:szCs w:val="24"/>
          <w:highlight w:val="none"/>
        </w:rPr>
      </w:pPr>
      <w:r>
        <w:rPr>
          <w:rFonts w:cs="Calibri"/>
          <w:bCs/>
          <w:color w:val="auto"/>
          <w:sz w:val="18"/>
          <w:szCs w:val="24"/>
          <w:highlight w:val="none"/>
        </w:rPr>
        <w:t>（1）项目来源</w:t>
      </w:r>
      <w:r>
        <w:rPr>
          <w:rFonts w:hint="eastAsia" w:ascii="Times New Roman" w:hAnsi="Times New Roman" w:eastAsia="宋体" w:cs="Times New Roman"/>
          <w:bCs/>
          <w:color w:val="auto"/>
          <w:sz w:val="18"/>
          <w:szCs w:val="18"/>
          <w:highlight w:val="none"/>
        </w:rPr>
        <w:t>(QH11)</w:t>
      </w:r>
      <w:r>
        <w:rPr>
          <w:rFonts w:cs="Calibri"/>
          <w:bCs/>
          <w:color w:val="auto"/>
          <w:sz w:val="18"/>
          <w:szCs w:val="24"/>
          <w:highlight w:val="none"/>
        </w:rPr>
        <w:t>不得为空，有效代码为1、2、3、4或5</w:t>
      </w:r>
    </w:p>
    <w:p>
      <w:pPr>
        <w:spacing w:line="320" w:lineRule="exact"/>
        <w:ind w:left="525" w:leftChars="250"/>
        <w:rPr>
          <w:rFonts w:cs="Calibri"/>
          <w:bCs/>
          <w:color w:val="auto"/>
          <w:sz w:val="18"/>
          <w:szCs w:val="24"/>
          <w:highlight w:val="none"/>
        </w:rPr>
      </w:pPr>
      <w:r>
        <w:rPr>
          <w:rFonts w:cs="Calibri"/>
          <w:bCs/>
          <w:color w:val="auto"/>
          <w:sz w:val="18"/>
          <w:szCs w:val="24"/>
          <w:highlight w:val="none"/>
        </w:rPr>
        <w:t>（2）项目开展形式</w:t>
      </w:r>
      <w:r>
        <w:rPr>
          <w:rFonts w:hint="eastAsia" w:ascii="Times New Roman" w:hAnsi="Times New Roman" w:eastAsia="宋体" w:cs="Times New Roman"/>
          <w:bCs/>
          <w:color w:val="auto"/>
          <w:sz w:val="18"/>
          <w:szCs w:val="18"/>
          <w:highlight w:val="none"/>
        </w:rPr>
        <w:t>(QH31)</w:t>
      </w:r>
      <w:r>
        <w:rPr>
          <w:rFonts w:cs="Calibri"/>
          <w:bCs/>
          <w:color w:val="auto"/>
          <w:sz w:val="18"/>
          <w:szCs w:val="24"/>
          <w:highlight w:val="none"/>
        </w:rPr>
        <w:t>不得为空，有效代码为10、21、22、23、24、30或40</w:t>
      </w:r>
    </w:p>
    <w:p>
      <w:pPr>
        <w:spacing w:line="320" w:lineRule="exact"/>
        <w:ind w:left="1065" w:leftChars="250" w:hanging="540" w:hangingChars="300"/>
        <w:rPr>
          <w:rFonts w:cs="Calibri"/>
          <w:bCs/>
          <w:color w:val="auto"/>
          <w:sz w:val="18"/>
          <w:szCs w:val="24"/>
          <w:highlight w:val="none"/>
        </w:rPr>
      </w:pPr>
      <w:r>
        <w:rPr>
          <w:rFonts w:cs="Calibri"/>
          <w:bCs/>
          <w:color w:val="auto"/>
          <w:sz w:val="18"/>
          <w:szCs w:val="24"/>
          <w:highlight w:val="none"/>
        </w:rPr>
        <w:t>（3）项目当年成果形式</w:t>
      </w:r>
      <w:r>
        <w:rPr>
          <w:rFonts w:eastAsia="宋体" w:cs="Calibri"/>
          <w:bCs/>
          <w:color w:val="auto"/>
          <w:sz w:val="18"/>
          <w:szCs w:val="24"/>
          <w:highlight w:val="none"/>
        </w:rPr>
        <w:t>(</w:t>
      </w:r>
      <w:r>
        <w:rPr>
          <w:rFonts w:cs="Calibri"/>
          <w:bCs/>
          <w:color w:val="auto"/>
          <w:sz w:val="18"/>
          <w:szCs w:val="24"/>
          <w:highlight w:val="none"/>
        </w:rPr>
        <w:t>QH21</w:t>
      </w:r>
      <w:r>
        <w:rPr>
          <w:rFonts w:eastAsia="宋体" w:cs="Calibri"/>
          <w:bCs/>
          <w:color w:val="auto"/>
          <w:sz w:val="18"/>
          <w:szCs w:val="24"/>
          <w:highlight w:val="none"/>
        </w:rPr>
        <w:t>)不</w:t>
      </w:r>
      <w:r>
        <w:rPr>
          <w:rFonts w:cs="Calibri"/>
          <w:bCs/>
          <w:color w:val="auto"/>
          <w:sz w:val="18"/>
          <w:szCs w:val="24"/>
          <w:highlight w:val="none"/>
        </w:rPr>
        <w:t>得为空，有效代码为01、02、03、04、05、06、07、08、09、10、11、12、13或14</w:t>
      </w:r>
    </w:p>
    <w:p>
      <w:pPr>
        <w:spacing w:line="320" w:lineRule="exact"/>
        <w:ind w:left="525" w:leftChars="250"/>
        <w:rPr>
          <w:rFonts w:cs="Calibri"/>
          <w:bCs/>
          <w:color w:val="auto"/>
          <w:sz w:val="18"/>
          <w:szCs w:val="24"/>
          <w:highlight w:val="none"/>
        </w:rPr>
      </w:pPr>
      <w:r>
        <w:rPr>
          <w:rFonts w:cs="Calibri"/>
          <w:bCs/>
          <w:color w:val="auto"/>
          <w:sz w:val="18"/>
          <w:szCs w:val="24"/>
          <w:highlight w:val="none"/>
        </w:rPr>
        <w:t>（4）项目技术经济目标</w:t>
      </w:r>
      <w:r>
        <w:rPr>
          <w:rFonts w:eastAsia="宋体" w:cs="Calibri"/>
          <w:bCs/>
          <w:color w:val="auto"/>
          <w:sz w:val="18"/>
          <w:szCs w:val="24"/>
          <w:highlight w:val="none"/>
        </w:rPr>
        <w:t>(</w:t>
      </w:r>
      <w:r>
        <w:rPr>
          <w:rFonts w:cs="Calibri"/>
          <w:bCs/>
          <w:color w:val="auto"/>
          <w:sz w:val="18"/>
          <w:szCs w:val="24"/>
          <w:highlight w:val="none"/>
        </w:rPr>
        <w:t>QH32</w:t>
      </w:r>
      <w:r>
        <w:rPr>
          <w:rFonts w:eastAsia="宋体" w:cs="Calibri"/>
          <w:bCs/>
          <w:color w:val="auto"/>
          <w:sz w:val="18"/>
          <w:szCs w:val="24"/>
          <w:highlight w:val="none"/>
        </w:rPr>
        <w:t>)</w:t>
      </w:r>
      <w:r>
        <w:rPr>
          <w:rFonts w:cs="Calibri"/>
          <w:bCs/>
          <w:color w:val="auto"/>
          <w:sz w:val="18"/>
          <w:szCs w:val="24"/>
          <w:highlight w:val="none"/>
        </w:rPr>
        <w:t>不得为空，有效代码为1、2、3、4、5、6、7、8或9</w:t>
      </w:r>
    </w:p>
    <w:p>
      <w:pPr>
        <w:spacing w:line="320" w:lineRule="exact"/>
        <w:ind w:left="525" w:leftChars="250"/>
        <w:rPr>
          <w:rFonts w:cs="Calibri"/>
          <w:bCs/>
          <w:color w:val="auto"/>
          <w:sz w:val="18"/>
          <w:szCs w:val="24"/>
          <w:highlight w:val="none"/>
        </w:rPr>
      </w:pPr>
      <w:r>
        <w:rPr>
          <w:rFonts w:cs="Calibri"/>
          <w:bCs/>
          <w:color w:val="auto"/>
          <w:sz w:val="18"/>
          <w:szCs w:val="24"/>
          <w:highlight w:val="none"/>
        </w:rPr>
        <w:t>（5）项目活动类型</w:t>
      </w:r>
      <w:r>
        <w:rPr>
          <w:rFonts w:eastAsia="宋体" w:cs="Calibri"/>
          <w:bCs/>
          <w:color w:val="auto"/>
          <w:sz w:val="18"/>
          <w:szCs w:val="24"/>
          <w:highlight w:val="none"/>
        </w:rPr>
        <w:t>(</w:t>
      </w:r>
      <w:r>
        <w:rPr>
          <w:rFonts w:cs="Calibri"/>
          <w:bCs/>
          <w:color w:val="auto"/>
          <w:sz w:val="18"/>
          <w:szCs w:val="24"/>
          <w:highlight w:val="none"/>
        </w:rPr>
        <w:t>QH33</w:t>
      </w:r>
      <w:r>
        <w:rPr>
          <w:rFonts w:eastAsia="宋体" w:cs="Calibri"/>
          <w:bCs/>
          <w:color w:val="auto"/>
          <w:sz w:val="18"/>
          <w:szCs w:val="24"/>
          <w:highlight w:val="none"/>
        </w:rPr>
        <w:t>)</w:t>
      </w:r>
      <w:r>
        <w:rPr>
          <w:rFonts w:cs="Calibri"/>
          <w:bCs/>
          <w:color w:val="auto"/>
          <w:sz w:val="18"/>
          <w:szCs w:val="24"/>
          <w:highlight w:val="none"/>
        </w:rPr>
        <w:t>不得为空，有效代码为1、2、3、4或5</w:t>
      </w:r>
    </w:p>
    <w:p>
      <w:pPr>
        <w:spacing w:line="320" w:lineRule="exact"/>
        <w:ind w:left="525" w:leftChars="250"/>
        <w:rPr>
          <w:rFonts w:cs="Calibri"/>
          <w:bCs/>
          <w:color w:val="auto"/>
          <w:sz w:val="18"/>
          <w:szCs w:val="24"/>
          <w:highlight w:val="none"/>
        </w:rPr>
      </w:pPr>
      <w:r>
        <w:rPr>
          <w:rFonts w:cs="Calibri"/>
          <w:bCs/>
          <w:color w:val="auto"/>
          <w:sz w:val="18"/>
          <w:szCs w:val="24"/>
          <w:highlight w:val="none"/>
        </w:rPr>
        <w:t>（6）项目的起始时间</w:t>
      </w:r>
      <w:r>
        <w:rPr>
          <w:rFonts w:eastAsia="宋体" w:cs="Calibri"/>
          <w:bCs/>
          <w:color w:val="auto"/>
          <w:sz w:val="18"/>
          <w:szCs w:val="24"/>
          <w:highlight w:val="none"/>
        </w:rPr>
        <w:t>(</w:t>
      </w:r>
      <w:r>
        <w:rPr>
          <w:rFonts w:cs="Calibri"/>
          <w:bCs/>
          <w:color w:val="auto"/>
          <w:sz w:val="18"/>
          <w:szCs w:val="24"/>
          <w:highlight w:val="none"/>
        </w:rPr>
        <w:t>QH34</w:t>
      </w:r>
      <w:r>
        <w:rPr>
          <w:rFonts w:eastAsia="宋体" w:cs="Calibri"/>
          <w:bCs/>
          <w:color w:val="auto"/>
          <w:sz w:val="18"/>
          <w:szCs w:val="24"/>
          <w:highlight w:val="none"/>
        </w:rPr>
        <w:t>)</w:t>
      </w:r>
      <w:r>
        <w:rPr>
          <w:rFonts w:cs="Calibri"/>
          <w:bCs/>
          <w:color w:val="auto"/>
          <w:sz w:val="18"/>
          <w:szCs w:val="24"/>
          <w:highlight w:val="none"/>
        </w:rPr>
        <w:t>须填满六位且</w:t>
      </w:r>
      <w:r>
        <w:rPr>
          <w:rFonts w:hint="eastAsia" w:ascii="Times New Roman" w:hAnsi="Times New Roman" w:eastAsia="宋体" w:cs="Times New Roman"/>
          <w:bCs/>
          <w:color w:val="auto"/>
          <w:sz w:val="18"/>
          <w:szCs w:val="18"/>
          <w:highlight w:val="none"/>
        </w:rPr>
        <w:t>≤</w:t>
      </w:r>
      <w:r>
        <w:rPr>
          <w:rFonts w:cs="Calibri"/>
          <w:bCs/>
          <w:color w:val="auto"/>
          <w:sz w:val="18"/>
          <w:szCs w:val="24"/>
          <w:highlight w:val="none"/>
        </w:rPr>
        <w:t>202112</w:t>
      </w:r>
    </w:p>
    <w:p>
      <w:pPr>
        <w:spacing w:line="320" w:lineRule="exact"/>
        <w:ind w:left="525" w:leftChars="250"/>
        <w:rPr>
          <w:rFonts w:cs="Calibri"/>
          <w:bCs/>
          <w:color w:val="auto"/>
          <w:sz w:val="18"/>
          <w:szCs w:val="24"/>
          <w:highlight w:val="none"/>
        </w:rPr>
      </w:pPr>
      <w:r>
        <w:rPr>
          <w:rFonts w:cs="Calibri"/>
          <w:bCs/>
          <w:color w:val="auto"/>
          <w:sz w:val="18"/>
          <w:szCs w:val="24"/>
          <w:highlight w:val="none"/>
        </w:rPr>
        <w:t>（7）若项目完成时间QH3</w:t>
      </w:r>
      <w:r>
        <w:rPr>
          <w:rFonts w:hint="eastAsia" w:ascii="Times New Roman" w:hAnsi="Times New Roman" w:eastAsia="宋体" w:cs="Times New Roman"/>
          <w:bCs/>
          <w:color w:val="auto"/>
          <w:sz w:val="18"/>
          <w:szCs w:val="18"/>
          <w:highlight w:val="none"/>
        </w:rPr>
        <w:t>5&lt;&gt;</w:t>
      </w:r>
      <w:r>
        <w:rPr>
          <w:rFonts w:cs="Calibri"/>
          <w:bCs/>
          <w:color w:val="auto"/>
          <w:sz w:val="18"/>
          <w:szCs w:val="24"/>
          <w:highlight w:val="none"/>
        </w:rPr>
        <w:t>“000000”，则</w:t>
      </w:r>
      <w:r>
        <w:rPr>
          <w:rFonts w:ascii="Times New Roman" w:hAnsi="Times New Roman" w:eastAsia="宋体" w:cs="Calibri"/>
          <w:bCs/>
          <w:color w:val="auto"/>
          <w:sz w:val="18"/>
          <w:szCs w:val="24"/>
          <w:highlight w:val="none"/>
        </w:rPr>
        <w:t>QH3</w:t>
      </w:r>
      <w:r>
        <w:rPr>
          <w:rFonts w:hint="eastAsia" w:ascii="Times New Roman" w:hAnsi="Times New Roman" w:eastAsia="宋体" w:cs="Times New Roman"/>
          <w:bCs/>
          <w:color w:val="auto"/>
          <w:sz w:val="18"/>
          <w:szCs w:val="18"/>
          <w:highlight w:val="none"/>
        </w:rPr>
        <w:t>5≥QH3</w:t>
      </w:r>
      <w:r>
        <w:rPr>
          <w:rFonts w:ascii="Times New Roman" w:hAnsi="Times New Roman" w:eastAsia="宋体" w:cs="Calibri"/>
          <w:bCs/>
          <w:color w:val="auto"/>
          <w:sz w:val="18"/>
          <w:szCs w:val="24"/>
          <w:highlight w:val="none"/>
        </w:rPr>
        <w:t>4</w:t>
      </w:r>
      <w:r>
        <w:rPr>
          <w:rFonts w:cs="Calibri"/>
          <w:bCs/>
          <w:color w:val="auto"/>
          <w:sz w:val="18"/>
          <w:szCs w:val="24"/>
          <w:highlight w:val="none"/>
        </w:rPr>
        <w:t>且</w:t>
      </w:r>
      <w:r>
        <w:rPr>
          <w:rFonts w:hint="eastAsia" w:ascii="Times New Roman" w:hAnsi="Times New Roman" w:eastAsia="宋体" w:cs="Times New Roman"/>
          <w:bCs/>
          <w:color w:val="auto"/>
          <w:sz w:val="18"/>
          <w:szCs w:val="18"/>
          <w:highlight w:val="none"/>
        </w:rPr>
        <w:t>QH34≤202112</w:t>
      </w:r>
      <w:r>
        <w:rPr>
          <w:rFonts w:cs="Calibri"/>
          <w:bCs/>
          <w:color w:val="auto"/>
          <w:sz w:val="18"/>
          <w:szCs w:val="24"/>
          <w:highlight w:val="none"/>
        </w:rPr>
        <w:t>且</w:t>
      </w:r>
      <w:r>
        <w:rPr>
          <w:rFonts w:hint="eastAsia" w:ascii="Times New Roman" w:hAnsi="Times New Roman" w:eastAsia="宋体" w:cs="Times New Roman"/>
          <w:bCs/>
          <w:color w:val="auto"/>
          <w:sz w:val="18"/>
          <w:szCs w:val="18"/>
          <w:highlight w:val="none"/>
        </w:rPr>
        <w:t>QH35≥202101</w:t>
      </w:r>
    </w:p>
    <w:p>
      <w:pPr>
        <w:spacing w:line="320" w:lineRule="exact"/>
        <w:ind w:left="1065" w:leftChars="250" w:hanging="540" w:hangingChars="300"/>
        <w:rPr>
          <w:rFonts w:cs="Calibri"/>
          <w:bCs/>
          <w:color w:val="auto"/>
          <w:sz w:val="18"/>
          <w:szCs w:val="24"/>
          <w:highlight w:val="none"/>
        </w:rPr>
      </w:pPr>
      <w:r>
        <w:rPr>
          <w:rFonts w:cs="Calibri"/>
          <w:bCs/>
          <w:color w:val="auto"/>
          <w:sz w:val="18"/>
          <w:szCs w:val="24"/>
          <w:highlight w:val="none"/>
        </w:rPr>
        <w:t>（8）若项目的起始时间（QH34）为填报期上年或者项目在填报期当年尚未完成，即</w:t>
      </w:r>
      <w:r>
        <w:rPr>
          <w:rFonts w:hint="eastAsia" w:ascii="Times New Roman" w:hAnsi="Times New Roman" w:eastAsia="宋体" w:cs="Times New Roman"/>
          <w:bCs/>
          <w:color w:val="auto"/>
          <w:sz w:val="18"/>
          <w:szCs w:val="18"/>
          <w:highlight w:val="none"/>
        </w:rPr>
        <w:t>QH34≤202012</w:t>
      </w:r>
      <w:r>
        <w:rPr>
          <w:rFonts w:cs="Calibri"/>
          <w:bCs/>
          <w:color w:val="auto"/>
          <w:sz w:val="18"/>
          <w:szCs w:val="24"/>
          <w:highlight w:val="none"/>
        </w:rPr>
        <w:t>或</w:t>
      </w:r>
      <w:r>
        <w:rPr>
          <w:rFonts w:hint="eastAsia" w:ascii="Times New Roman" w:hAnsi="Times New Roman" w:eastAsia="宋体" w:cs="Times New Roman"/>
          <w:bCs/>
          <w:color w:val="auto"/>
          <w:sz w:val="18"/>
          <w:szCs w:val="18"/>
          <w:highlight w:val="none"/>
        </w:rPr>
        <w:t>QH35≥202201</w:t>
      </w:r>
      <w:r>
        <w:rPr>
          <w:rFonts w:cs="Calibri"/>
          <w:bCs/>
          <w:color w:val="auto"/>
          <w:sz w:val="18"/>
          <w:szCs w:val="24"/>
          <w:highlight w:val="none"/>
        </w:rPr>
        <w:t>，则属跨年项目，QH36的有效代码为1、2、3或4</w:t>
      </w:r>
    </w:p>
    <w:p>
      <w:pPr>
        <w:spacing w:line="320" w:lineRule="exact"/>
        <w:ind w:left="1065" w:leftChars="250" w:hanging="540" w:hangingChars="300"/>
        <w:rPr>
          <w:rFonts w:cs="Calibri"/>
          <w:bCs/>
          <w:color w:val="auto"/>
          <w:sz w:val="18"/>
          <w:szCs w:val="24"/>
          <w:highlight w:val="none"/>
        </w:rPr>
      </w:pPr>
      <w:r>
        <w:rPr>
          <w:rFonts w:cs="Calibri"/>
          <w:bCs/>
          <w:color w:val="auto"/>
          <w:sz w:val="18"/>
          <w:szCs w:val="24"/>
          <w:highlight w:val="none"/>
        </w:rPr>
        <w:t>（9）若项目参加人员</w:t>
      </w:r>
      <w:r>
        <w:rPr>
          <w:rFonts w:hint="eastAsia" w:ascii="Times New Roman" w:hAnsi="Times New Roman" w:eastAsia="宋体" w:cs="Times New Roman"/>
          <w:bCs/>
          <w:color w:val="auto"/>
          <w:sz w:val="18"/>
          <w:szCs w:val="18"/>
          <w:highlight w:val="none"/>
        </w:rPr>
        <w:t>QH44&gt;0</w:t>
      </w:r>
      <w:r>
        <w:rPr>
          <w:rFonts w:cs="Calibri"/>
          <w:bCs/>
          <w:color w:val="auto"/>
          <w:sz w:val="18"/>
          <w:szCs w:val="24"/>
          <w:highlight w:val="none"/>
        </w:rPr>
        <w:t>则项目人员实际工作时间</w:t>
      </w:r>
      <w:r>
        <w:rPr>
          <w:rFonts w:hint="eastAsia" w:ascii="Times New Roman" w:hAnsi="Times New Roman" w:eastAsia="宋体" w:cs="Times New Roman"/>
          <w:bCs/>
          <w:color w:val="auto"/>
          <w:sz w:val="18"/>
          <w:szCs w:val="18"/>
          <w:highlight w:val="none"/>
        </w:rPr>
        <w:t>QH40&gt;0</w:t>
      </w:r>
      <w:r>
        <w:rPr>
          <w:rFonts w:cs="Calibri"/>
          <w:bCs/>
          <w:color w:val="auto"/>
          <w:sz w:val="18"/>
          <w:szCs w:val="24"/>
          <w:highlight w:val="none"/>
        </w:rPr>
        <w:t>，项目经费支出QH51&gt;0；若项目经费支出Q</w:t>
      </w:r>
      <w:r>
        <w:rPr>
          <w:rFonts w:hint="eastAsia" w:ascii="Times New Roman" w:hAnsi="Times New Roman" w:eastAsia="宋体" w:cs="Times New Roman"/>
          <w:bCs/>
          <w:color w:val="auto"/>
          <w:sz w:val="18"/>
          <w:szCs w:val="18"/>
          <w:highlight w:val="none"/>
        </w:rPr>
        <w:t>H51&gt;0</w:t>
      </w:r>
      <w:r>
        <w:rPr>
          <w:rFonts w:cs="Calibri"/>
          <w:bCs/>
          <w:color w:val="auto"/>
          <w:sz w:val="18"/>
          <w:szCs w:val="24"/>
          <w:highlight w:val="none"/>
        </w:rPr>
        <w:t>则项目参加人员</w:t>
      </w:r>
      <w:r>
        <w:rPr>
          <w:rFonts w:hint="eastAsia" w:ascii="Times New Roman" w:hAnsi="Times New Roman" w:eastAsia="宋体" w:cs="Times New Roman"/>
          <w:bCs/>
          <w:color w:val="auto"/>
          <w:sz w:val="18"/>
          <w:szCs w:val="18"/>
          <w:highlight w:val="none"/>
        </w:rPr>
        <w:t>QH44&gt;0</w:t>
      </w:r>
      <w:r>
        <w:rPr>
          <w:rFonts w:cs="Calibri"/>
          <w:bCs/>
          <w:color w:val="auto"/>
          <w:sz w:val="18"/>
          <w:szCs w:val="24"/>
          <w:highlight w:val="none"/>
        </w:rPr>
        <w:t>；</w:t>
      </w:r>
    </w:p>
    <w:p>
      <w:pPr>
        <w:spacing w:line="320" w:lineRule="exact"/>
        <w:ind w:left="525" w:leftChars="250"/>
        <w:rPr>
          <w:rFonts w:cs="Calibri"/>
          <w:bCs/>
          <w:color w:val="auto"/>
          <w:sz w:val="18"/>
          <w:szCs w:val="24"/>
          <w:highlight w:val="none"/>
        </w:rPr>
      </w:pPr>
      <w:r>
        <w:rPr>
          <w:rFonts w:cs="Calibri"/>
          <w:bCs/>
          <w:color w:val="auto"/>
          <w:sz w:val="18"/>
          <w:szCs w:val="24"/>
          <w:highlight w:val="none"/>
        </w:rPr>
        <w:t>（10）项目经费支出</w:t>
      </w:r>
      <w:r>
        <w:rPr>
          <w:rFonts w:hint="eastAsia" w:ascii="Times New Roman" w:hAnsi="Times New Roman" w:eastAsia="宋体" w:cs="Times New Roman"/>
          <w:bCs/>
          <w:color w:val="auto"/>
          <w:sz w:val="18"/>
          <w:szCs w:val="18"/>
          <w:highlight w:val="none"/>
        </w:rPr>
        <w:t>QH51≥</w:t>
      </w:r>
      <w:r>
        <w:rPr>
          <w:rFonts w:cs="Calibri"/>
          <w:bCs/>
          <w:color w:val="auto"/>
          <w:sz w:val="18"/>
          <w:szCs w:val="24"/>
          <w:highlight w:val="none"/>
        </w:rPr>
        <w:t>政府资金QH52</w:t>
      </w:r>
    </w:p>
    <w:p>
      <w:pPr>
        <w:spacing w:line="320" w:lineRule="exact"/>
        <w:ind w:left="1065" w:leftChars="250" w:hanging="540" w:hangingChars="300"/>
        <w:rPr>
          <w:rFonts w:cs="Calibri"/>
          <w:bCs/>
          <w:color w:val="auto"/>
          <w:sz w:val="18"/>
          <w:szCs w:val="24"/>
          <w:highlight w:val="none"/>
        </w:rPr>
      </w:pPr>
      <w:r>
        <w:rPr>
          <w:rFonts w:cs="Calibri"/>
          <w:bCs/>
          <w:color w:val="auto"/>
          <w:sz w:val="18"/>
          <w:szCs w:val="24"/>
          <w:highlight w:val="none"/>
        </w:rPr>
        <w:t>（11）若项目开展形式QH31的有效代码为30（委托其他企业或单位），则跨年项目所处主要进展阶段（QH36）、参加项目人员（QH44）和项目人员实际工作时间（QH40）项免填</w:t>
      </w:r>
    </w:p>
    <w:p>
      <w:pPr>
        <w:spacing w:line="320" w:lineRule="exact"/>
        <w:ind w:left="525" w:leftChars="250"/>
        <w:rPr>
          <w:rFonts w:cs="Calibri"/>
          <w:bCs/>
          <w:color w:val="auto"/>
          <w:sz w:val="18"/>
          <w:szCs w:val="24"/>
          <w:highlight w:val="none"/>
        </w:rPr>
      </w:pPr>
      <w:r>
        <w:rPr>
          <w:rFonts w:cs="Calibri"/>
          <w:bCs/>
          <w:color w:val="auto"/>
          <w:sz w:val="18"/>
          <w:szCs w:val="24"/>
          <w:highlight w:val="none"/>
        </w:rPr>
        <w:t>表间审核：</w:t>
      </w:r>
    </w:p>
    <w:p>
      <w:pPr>
        <w:numPr>
          <w:ilvl w:val="-1"/>
          <w:numId w:val="0"/>
        </w:numPr>
        <w:spacing w:line="320" w:lineRule="exact"/>
        <w:ind w:left="1065" w:leftChars="250" w:hanging="540" w:hangingChars="300"/>
        <w:rPr>
          <w:rFonts w:ascii="Times New Roman" w:hAnsi="Times New Roman" w:eastAsia="仿宋" w:cs="Calibri"/>
          <w:bCs/>
          <w:color w:val="auto"/>
          <w:sz w:val="18"/>
          <w:szCs w:val="24"/>
          <w:highlight w:val="none"/>
        </w:rPr>
      </w:pPr>
      <w:r>
        <w:rPr>
          <w:rFonts w:hint="eastAsia" w:cs="Calibri"/>
          <w:bCs/>
          <w:color w:val="auto"/>
          <w:sz w:val="18"/>
          <w:szCs w:val="24"/>
          <w:highlight w:val="none"/>
          <w:lang w:eastAsia="zh-CN"/>
        </w:rPr>
        <w:t>（</w:t>
      </w:r>
      <w:r>
        <w:rPr>
          <w:rFonts w:hint="eastAsia" w:cs="Calibri"/>
          <w:bCs/>
          <w:color w:val="auto"/>
          <w:sz w:val="18"/>
          <w:szCs w:val="24"/>
          <w:highlight w:val="none"/>
          <w:lang w:val="en-US" w:eastAsia="zh-CN"/>
        </w:rPr>
        <w:t>1</w:t>
      </w:r>
      <w:r>
        <w:rPr>
          <w:rFonts w:hint="eastAsia" w:cs="Calibri"/>
          <w:bCs/>
          <w:color w:val="auto"/>
          <w:sz w:val="18"/>
          <w:szCs w:val="24"/>
          <w:highlight w:val="none"/>
          <w:lang w:eastAsia="zh-CN"/>
        </w:rPr>
        <w:t>）</w:t>
      </w:r>
      <w:r>
        <w:rPr>
          <w:rFonts w:ascii="Times New Roman" w:hAnsi="Times New Roman" w:eastAsia="仿宋" w:cs="Calibri"/>
          <w:bCs/>
          <w:color w:val="auto"/>
          <w:sz w:val="18"/>
          <w:szCs w:val="24"/>
          <w:highlight w:val="none"/>
        </w:rPr>
        <w:t>GQ-004表∑QH40（项目人员实际工作时间合计）</w:t>
      </w:r>
      <w:r>
        <w:rPr>
          <w:rFonts w:hint="default" w:ascii="Times New Roman" w:hAnsi="Times New Roman" w:eastAsia="仿宋" w:cs="Calibri"/>
          <w:bCs/>
          <w:color w:val="auto"/>
          <w:sz w:val="18"/>
          <w:szCs w:val="24"/>
          <w:highlight w:val="none"/>
        </w:rPr>
        <w:t>≤GQ-005</w:t>
      </w:r>
      <w:r>
        <w:rPr>
          <w:rFonts w:ascii="Times New Roman" w:hAnsi="Times New Roman" w:eastAsia="仿宋" w:cs="Calibri"/>
          <w:bCs/>
          <w:color w:val="auto"/>
          <w:sz w:val="18"/>
          <w:szCs w:val="24"/>
          <w:highlight w:val="none"/>
        </w:rPr>
        <w:t>表QJ09（研究开发人员）*12</w:t>
      </w:r>
    </w:p>
    <w:p>
      <w:pPr>
        <w:snapToGrid/>
        <w:spacing w:line="320" w:lineRule="exact"/>
        <w:ind w:left="1065" w:leftChars="250" w:hanging="540" w:hangingChars="300"/>
        <w:jc w:val="left"/>
        <w:rPr>
          <w:rFonts w:cs="Calibri"/>
          <w:bCs/>
          <w:color w:val="auto"/>
          <w:sz w:val="18"/>
          <w:szCs w:val="24"/>
          <w:highlight w:val="none"/>
        </w:rPr>
      </w:pPr>
      <w:r>
        <w:rPr>
          <w:rFonts w:ascii="Times New Roman" w:hAnsi="Times New Roman" w:eastAsia="仿宋" w:cs="Calibri"/>
          <w:bCs/>
          <w:color w:val="auto"/>
          <w:sz w:val="18"/>
          <w:szCs w:val="24"/>
          <w:highlight w:val="none"/>
        </w:rPr>
        <w:t>（2）GQ-004表∑QH51（</w:t>
      </w:r>
      <w:r>
        <w:rPr>
          <w:rFonts w:cs="Calibri"/>
          <w:bCs/>
          <w:color w:val="auto"/>
          <w:sz w:val="18"/>
          <w:szCs w:val="24"/>
          <w:highlight w:val="none"/>
        </w:rPr>
        <w:t>项目经费支出合计）</w:t>
      </w:r>
      <w:r>
        <w:rPr>
          <w:rFonts w:hint="default" w:ascii="Times New Roman" w:hAnsi="Times New Roman" w:eastAsia="仿宋" w:cs="Calibri"/>
          <w:bCs/>
          <w:color w:val="auto"/>
          <w:sz w:val="18"/>
          <w:szCs w:val="24"/>
          <w:highlight w:val="none"/>
        </w:rPr>
        <w:t>≤GQ-005</w:t>
      </w:r>
      <w:r>
        <w:rPr>
          <w:rFonts w:cs="Calibri"/>
          <w:bCs/>
          <w:color w:val="auto"/>
          <w:sz w:val="18"/>
          <w:szCs w:val="24"/>
          <w:highlight w:val="none"/>
        </w:rPr>
        <w:t>表QJ20（研究开发费用合计）</w:t>
      </w:r>
    </w:p>
    <w:p>
      <w:pPr>
        <w:tabs>
          <w:tab w:val="left" w:pos="753"/>
        </w:tabs>
        <w:snapToGrid/>
        <w:spacing w:line="360" w:lineRule="exact"/>
        <w:ind w:left="0" w:leftChars="0"/>
        <w:jc w:val="center"/>
        <w:rPr>
          <w:rFonts w:hint="eastAsia" w:ascii="黑体" w:hAnsi="黑体" w:eastAsia="黑体" w:cs="黑体"/>
          <w:b w:val="0"/>
          <w:bCs/>
          <w:color w:val="auto"/>
          <w:kern w:val="0"/>
          <w:sz w:val="32"/>
          <w:szCs w:val="32"/>
          <w:highlight w:val="none"/>
        </w:rPr>
      </w:pPr>
      <w:r>
        <w:rPr>
          <w:color w:val="auto"/>
          <w:highlight w:val="none"/>
        </w:rPr>
        <w:br w:type="page"/>
      </w:r>
      <w:r>
        <w:rPr>
          <w:rFonts w:hint="eastAsia" w:ascii="黑体" w:hAnsi="黑体" w:eastAsia="黑体" w:cs="黑体"/>
          <w:b w:val="0"/>
          <w:bCs/>
          <w:color w:val="auto"/>
          <w:kern w:val="0"/>
          <w:sz w:val="32"/>
          <w:szCs w:val="32"/>
          <w:highlight w:val="none"/>
        </w:rPr>
        <w:t>指标解释</w:t>
      </w:r>
    </w:p>
    <w:p>
      <w:pPr>
        <w:pStyle w:val="2"/>
        <w:rPr>
          <w:rFonts w:ascii="Times New Roman" w:hAnsi="Times New Roman"/>
          <w:color w:val="auto"/>
          <w:highlight w:val="none"/>
        </w:rPr>
      </w:pPr>
    </w:p>
    <w:p>
      <w:pPr>
        <w:snapToGrid w:val="0"/>
        <w:spacing w:line="400" w:lineRule="exact"/>
        <w:ind w:firstLine="420" w:firstLineChars="200"/>
        <w:rPr>
          <w:rFonts w:hint="eastAsia" w:ascii="Times New Roman" w:hAnsi="Times New Roman"/>
          <w:bCs/>
          <w:color w:val="auto"/>
          <w:szCs w:val="24"/>
          <w:highlight w:val="none"/>
        </w:rPr>
      </w:pPr>
      <w:r>
        <w:rPr>
          <w:rFonts w:ascii="Times New Roman" w:hAnsi="Times New Roman" w:eastAsia="黑体"/>
          <w:bCs/>
          <w:color w:val="auto"/>
          <w:szCs w:val="21"/>
          <w:highlight w:val="none"/>
        </w:rPr>
        <w:t>研究开发</w:t>
      </w:r>
      <w:r>
        <w:rPr>
          <w:rFonts w:hint="eastAsia" w:ascii="Times New Roman" w:hAnsi="Times New Roman"/>
          <w:bCs/>
          <w:color w:val="auto"/>
          <w:szCs w:val="24"/>
          <w:highlight w:val="none"/>
        </w:rPr>
        <w:t>根据企业相关会计准则规定，研究是指为获取并理解新的科学或技术知识而进行的独创性的有计划调查。开发是指在进行商业性生产或使用前，将研究成果或其他知识应用于某项计划或设计，以生产出新的或具有实质性改进的材料、装置、产品等。</w:t>
      </w:r>
    </w:p>
    <w:p>
      <w:pPr>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企业的研究开发活动不包括：</w:t>
      </w:r>
    </w:p>
    <w:p>
      <w:pPr>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1）为使产生的新产品、材料和装置，建立的新工艺、系统和服务以及做实质性改进后的上述各项能够投入生产或实际应用，解决所存在的技术问题而进行的系统性的工作。这些活动的成果形式大多是可供生产和实际操作的带有技术和工艺参数的图纸、技术标准和操作规范。</w:t>
      </w:r>
    </w:p>
    <w:p>
      <w:pPr>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（2）企业从事的常规性技术升级或对某项科研成果直接应用等活动（如直接采用新的工艺、材料、装置、产品、服务或知识等）。</w:t>
      </w:r>
    </w:p>
    <w:p>
      <w:pPr>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（3）就特定技术项目提供可行性论证、技术预测、专题技术调查、分析评价所提供的技术咨询服务。</w:t>
      </w:r>
    </w:p>
    <w:p>
      <w:pPr>
        <w:snapToGrid w:val="0"/>
        <w:spacing w:line="400" w:lineRule="exact"/>
        <w:ind w:firstLine="420" w:firstLineChars="200"/>
        <w:rPr>
          <w:rFonts w:ascii="Times New Roman" w:hAnsi="Times New Roman"/>
          <w:bCs/>
          <w:color w:val="auto"/>
          <w:szCs w:val="24"/>
          <w:highlight w:val="none"/>
        </w:rPr>
      </w:pPr>
      <w:r>
        <w:rPr>
          <w:rFonts w:ascii="Times New Roman" w:hAnsi="Times New Roman"/>
          <w:bCs/>
          <w:color w:val="auto"/>
          <w:szCs w:val="24"/>
          <w:highlight w:val="none"/>
        </w:rPr>
        <w:t>（4）解决特定技术问题所提供的服务，包括一般性技术服务、技术中介服务和技术培训服务。</w:t>
      </w:r>
    </w:p>
    <w:p>
      <w:pPr>
        <w:snapToGrid w:val="0"/>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项目名称</w:t>
      </w:r>
      <w:r>
        <w:rPr>
          <w:rFonts w:hint="eastAsia" w:ascii="Times New Roman" w:hAnsi="Times New Roman"/>
          <w:bCs/>
          <w:color w:val="auto"/>
          <w:szCs w:val="24"/>
          <w:highlight w:val="none"/>
        </w:rPr>
        <w:t>按企业研究开发项目的立项计划书、项目任务书或项目合同书等有关立项资料中确定的项目名称填写，应与企业会计账中有关研究开发会计科目或向税务部门提供的研发支出辅助账中归集的项目具体名称对应。</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项目来源</w:t>
      </w:r>
      <w:r>
        <w:rPr>
          <w:rFonts w:hint="eastAsia" w:ascii="Times New Roman" w:hAnsi="Times New Roman"/>
          <w:bCs/>
          <w:color w:val="auto"/>
          <w:szCs w:val="24"/>
          <w:highlight w:val="none"/>
        </w:rPr>
        <w:t>按相应的分类填写代码，具体的分类及代码是：1.本企业自选项目；2.政府部门科技项目；3.其他企业（单位）委托项目；4.境外项目；5.其他项目。</w:t>
      </w:r>
    </w:p>
    <w:p>
      <w:pPr>
        <w:spacing w:line="400" w:lineRule="exact"/>
        <w:ind w:firstLine="420" w:firstLineChars="200"/>
        <w:rPr>
          <w:rFonts w:ascii="Times New Roman" w:hAnsi="Times New Roman"/>
          <w:bCs/>
          <w:color w:val="auto"/>
          <w:spacing w:val="-6"/>
          <w:szCs w:val="24"/>
          <w:highlight w:val="none"/>
        </w:rPr>
      </w:pPr>
      <w:r>
        <w:rPr>
          <w:rFonts w:ascii="Times New Roman" w:hAnsi="Times New Roman"/>
          <w:bCs/>
          <w:color w:val="auto"/>
          <w:szCs w:val="24"/>
          <w:highlight w:val="none"/>
        </w:rPr>
        <w:t>其中政府部门</w:t>
      </w:r>
      <w:r>
        <w:rPr>
          <w:rFonts w:hint="eastAsia" w:ascii="Times New Roman" w:hAnsi="Times New Roman"/>
          <w:bCs/>
          <w:color w:val="auto"/>
          <w:szCs w:val="24"/>
          <w:highlight w:val="none"/>
          <w:lang w:eastAsia="zh-CN"/>
        </w:rPr>
        <w:t>科技</w:t>
      </w:r>
      <w:r>
        <w:rPr>
          <w:rFonts w:ascii="Times New Roman" w:hAnsi="Times New Roman"/>
          <w:bCs/>
          <w:color w:val="auto"/>
          <w:szCs w:val="24"/>
          <w:highlight w:val="none"/>
        </w:rPr>
        <w:t>项目包括各类国家科技计划项目</w:t>
      </w:r>
      <w:r>
        <w:rPr>
          <w:rFonts w:hint="eastAsia" w:ascii="Times New Roman" w:hAnsi="Times New Roman"/>
          <w:bCs/>
          <w:color w:val="auto"/>
          <w:szCs w:val="24"/>
          <w:highlight w:val="none"/>
          <w:lang w:eastAsia="zh-CN"/>
        </w:rPr>
        <w:t>（</w:t>
      </w:r>
      <w:r>
        <w:rPr>
          <w:rFonts w:ascii="Times New Roman" w:hAnsi="Times New Roman"/>
          <w:bCs/>
          <w:color w:val="auto"/>
          <w:szCs w:val="24"/>
          <w:highlight w:val="none"/>
        </w:rPr>
        <w:t>如国家自然科学基金、国家科技重大专项、</w:t>
      </w:r>
      <w:r>
        <w:rPr>
          <w:rFonts w:ascii="Times New Roman" w:hAnsi="Times New Roman"/>
          <w:bCs/>
          <w:color w:val="auto"/>
          <w:spacing w:val="-6"/>
          <w:szCs w:val="24"/>
          <w:highlight w:val="none"/>
        </w:rPr>
        <w:t>国家重点研发计划、技术创新引导专项（基金）、基地和人才专项等</w:t>
      </w:r>
      <w:r>
        <w:rPr>
          <w:rFonts w:hint="eastAsia" w:ascii="Times New Roman" w:hAnsi="Times New Roman"/>
          <w:bCs/>
          <w:color w:val="auto"/>
          <w:spacing w:val="-6"/>
          <w:szCs w:val="24"/>
          <w:highlight w:val="none"/>
          <w:lang w:eastAsia="zh-CN"/>
        </w:rPr>
        <w:t>）</w:t>
      </w:r>
      <w:r>
        <w:rPr>
          <w:rFonts w:ascii="Times New Roman" w:hAnsi="Times New Roman"/>
          <w:bCs/>
          <w:color w:val="auto"/>
          <w:spacing w:val="-6"/>
          <w:szCs w:val="24"/>
          <w:highlight w:val="none"/>
        </w:rPr>
        <w:t>以及由各级政府部门下达的各类研究开发项目。</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4"/>
          <w:highlight w:val="none"/>
        </w:rPr>
        <w:t>项目开展形式</w:t>
      </w:r>
      <w:r>
        <w:rPr>
          <w:rFonts w:hint="eastAsia" w:ascii="Times New Roman" w:hAnsi="Times New Roman"/>
          <w:bCs/>
          <w:color w:val="auto"/>
          <w:spacing w:val="-6"/>
          <w:szCs w:val="24"/>
          <w:highlight w:val="none"/>
        </w:rPr>
        <w:t>按重要程度选择最主要的项目开展形式并按相应的代码填写，具体的分类与代码是：10.自主完成；21.与境内研究机构合作；22.与境内高等学校合作；23.与境内其他企业或单位合作；24.与境外机构合作；31.委托境内研究机构或高等学校；32.委托境内其他企业或单位；33.委托境外机构；40.其他形式。</w:t>
      </w:r>
    </w:p>
    <w:p>
      <w:pPr>
        <w:spacing w:line="400" w:lineRule="exact"/>
        <w:ind w:firstLine="420" w:firstLineChars="200"/>
        <w:rPr>
          <w:rFonts w:hint="eastAsia" w:ascii="Times New Roman" w:hAnsi="Times New Roman" w:eastAsia="宋体"/>
          <w:bCs/>
          <w:color w:val="auto"/>
          <w:szCs w:val="24"/>
          <w:highlight w:val="none"/>
          <w:lang w:eastAsia="zh-CN"/>
        </w:rPr>
      </w:pPr>
      <w:r>
        <w:rPr>
          <w:rFonts w:ascii="Times New Roman" w:hAnsi="Times New Roman" w:eastAsia="黑体"/>
          <w:bCs/>
          <w:color w:val="auto"/>
          <w:szCs w:val="21"/>
          <w:highlight w:val="none"/>
        </w:rPr>
        <w:t>项目当年成果形式</w:t>
      </w:r>
      <w:r>
        <w:rPr>
          <w:rFonts w:hint="eastAsia" w:ascii="Times New Roman" w:hAnsi="Times New Roman"/>
          <w:bCs/>
          <w:color w:val="auto"/>
          <w:szCs w:val="24"/>
          <w:highlight w:val="none"/>
        </w:rPr>
        <w:t>按重要程度选择项目当年最主要的成果形式并按相应的代码填写，具体的分类与代码是：01.论文、专著或研究报告；02.新产品、新工艺等推广与示范活动；03.对已有产品、工艺等进行一般性改进；04.对已有产品、工艺等实现突破性变革；05.软件著作权；06.应用软件；07.中间件或新算法；08.基础软件；09.发明专利；10.实用新型专利或外观设计专利；11.带有技术、工艺参数的图纸、技术标准、操作规范、技术论证、咨询评价；12.自主研制的新产品原型或样机、样件、样品、配方、新装置；13.自主开发的新技术或新工艺、新工法、新服务；14.其他</w:t>
      </w:r>
      <w:r>
        <w:rPr>
          <w:rFonts w:hint="eastAsia" w:ascii="Times New Roman" w:hAnsi="Times New Roman"/>
          <w:bCs/>
          <w:color w:val="auto"/>
          <w:szCs w:val="24"/>
          <w:highlight w:val="none"/>
          <w:lang w:eastAsia="zh-CN"/>
        </w:rPr>
        <w:t>。</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项目技术经济目标</w:t>
      </w:r>
      <w:r>
        <w:rPr>
          <w:rFonts w:hint="eastAsia" w:ascii="Times New Roman" w:hAnsi="Times New Roman"/>
          <w:bCs/>
          <w:color w:val="auto"/>
          <w:szCs w:val="24"/>
          <w:highlight w:val="none"/>
        </w:rPr>
        <w:t>指项目立项时确定的技术经济目标。若一个项目有两个及以上的技术经济目标，应按重要程度选择最主要的技术经济目标填写。具体的分类与代码是：1.科学原理的探索、发现；2．技术原理的研究；3.开发全新产品；4.增加产品功能或提高性能；5.提高劳动生产率；6.减少能源消耗或提高能源使用效率；7.节约原材料；8.减少环境污染；9.其他。</w:t>
      </w:r>
    </w:p>
    <w:p>
      <w:pPr>
        <w:spacing w:line="400" w:lineRule="exact"/>
        <w:ind w:firstLine="420" w:firstLineChars="200"/>
        <w:rPr>
          <w:rFonts w:hint="eastAsia" w:ascii="Times New Roman" w:hAnsi="Times New Roman" w:eastAsia="宋体"/>
          <w:bCs/>
          <w:color w:val="auto"/>
          <w:szCs w:val="24"/>
          <w:highlight w:val="none"/>
          <w:lang w:eastAsia="zh-CN"/>
        </w:rPr>
      </w:pPr>
      <w:r>
        <w:rPr>
          <w:rFonts w:ascii="Times New Roman" w:hAnsi="Times New Roman" w:eastAsia="黑体"/>
          <w:bCs/>
          <w:color w:val="auto"/>
          <w:szCs w:val="21"/>
          <w:highlight w:val="none"/>
        </w:rPr>
        <w:t>项目活动类型</w:t>
      </w:r>
      <w:r>
        <w:rPr>
          <w:rFonts w:ascii="Times New Roman" w:hAnsi="Times New Roman"/>
          <w:bCs/>
          <w:color w:val="auto"/>
          <w:szCs w:val="24"/>
          <w:highlight w:val="none"/>
        </w:rPr>
        <w:t>选最主要的项目(课题)活动类型并按相应的代码填写，具体的分类与代码是</w:t>
      </w:r>
      <w:r>
        <w:rPr>
          <w:rFonts w:hint="eastAsia" w:ascii="Times New Roman" w:hAnsi="Times New Roman"/>
          <w:bCs/>
          <w:color w:val="auto"/>
          <w:szCs w:val="24"/>
          <w:highlight w:val="none"/>
          <w:lang w:eastAsia="zh-CN"/>
        </w:rPr>
        <w:t>：</w:t>
      </w:r>
      <w:r>
        <w:rPr>
          <w:rFonts w:ascii="Times New Roman" w:hAnsi="Times New Roman"/>
          <w:bCs/>
          <w:color w:val="auto"/>
          <w:szCs w:val="24"/>
          <w:highlight w:val="none"/>
        </w:rPr>
        <w:t>1.基础研究；2.应用研究；3.试验发展；4.R&amp;D成果应用（试制与工程化）；5.技术咨询与技术服务</w:t>
      </w:r>
      <w:r>
        <w:rPr>
          <w:rFonts w:hint="eastAsia" w:ascii="Times New Roman" w:hAnsi="Times New Roman"/>
          <w:bCs/>
          <w:color w:val="auto"/>
          <w:szCs w:val="24"/>
          <w:highlight w:val="none"/>
          <w:lang w:eastAsia="zh-CN"/>
        </w:rPr>
        <w:t>。</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基础研究</w:t>
      </w:r>
      <w:r>
        <w:rPr>
          <w:rFonts w:ascii="Times New Roman" w:hAnsi="Times New Roman"/>
          <w:bCs/>
          <w:color w:val="auto"/>
          <w:szCs w:val="24"/>
          <w:highlight w:val="none"/>
        </w:rPr>
        <w:t>指是为了获得关于现象和可观察事实的基本原理的新知识（揭示客观事物的本质、运动规律，获得新发现、新学说）而进行的实验性或理论性研究，它不以任何专门或特定的应用或使用为目的。其成果以科学论文和科学著作为主要形式。用来反映知识的原始创新能力。</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应用研究</w:t>
      </w:r>
      <w:r>
        <w:rPr>
          <w:rFonts w:ascii="Times New Roman" w:hAnsi="Times New Roman"/>
          <w:bCs/>
          <w:color w:val="auto"/>
          <w:szCs w:val="24"/>
          <w:highlight w:val="none"/>
        </w:rPr>
        <w:t>指为获得新知识而进行的创造性研究，主要针对某一特定的目的或目标。应用研究是为了确定基础研究成果可能的用途，或是为了达到预定的目标探索应采取的新方法（原理性）或新途径。其成果形式以科学论文、专著、原理性模型或发明专利为主。用来反映对基础研究成果应用途径的探索。</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试验发展</w:t>
      </w:r>
      <w:r>
        <w:rPr>
          <w:rFonts w:ascii="Times New Roman" w:hAnsi="Times New Roman"/>
          <w:bCs/>
          <w:color w:val="auto"/>
          <w:szCs w:val="24"/>
          <w:highlight w:val="none"/>
        </w:rPr>
        <w:t>指利用从基础研究、应用研究和实际经验所获得的现有知识，为产生新的产品、材料和装置，建立的新工艺、系统和服务，以及对已经产生和建立的上述各项作实质性的改进而进行的系统性工作。其成果形式主要是发明专利、专有技术、具有新产品基本特征的产品原型或具有新装置基本特征的原始样机等。在社会科学领域，试验发展是指把通过基础研究、应用研究获得的知识转变成可以实施的计划（包括为进行检验和评估实施示范项目）的过程。人文科学领域没有对应的试验发展活动。主要反映将科研成果转化为技术和产品的能力，是科技推动经济社会发展的物化成果。</w:t>
      </w:r>
    </w:p>
    <w:p>
      <w:pPr>
        <w:spacing w:line="400" w:lineRule="exact"/>
        <w:ind w:firstLine="420" w:firstLineChars="200"/>
        <w:rPr>
          <w:rFonts w:ascii="Times New Roman" w:hAnsi="Times New Roman" w:eastAsia="黑体"/>
          <w:bCs/>
          <w:color w:val="auto"/>
          <w:szCs w:val="21"/>
          <w:highlight w:val="none"/>
        </w:rPr>
      </w:pPr>
      <w:r>
        <w:rPr>
          <w:rFonts w:ascii="Times New Roman" w:hAnsi="Times New Roman" w:eastAsia="黑体"/>
          <w:bCs/>
          <w:color w:val="auto"/>
          <w:szCs w:val="21"/>
          <w:highlight w:val="none"/>
        </w:rPr>
        <w:t>R&amp;D成果应用活动</w:t>
      </w:r>
      <w:r>
        <w:rPr>
          <w:rFonts w:ascii="Times New Roman" w:hAnsi="Times New Roman"/>
          <w:bCs/>
          <w:color w:val="auto"/>
          <w:highlight w:val="none"/>
        </w:rPr>
        <w:t>指为使试验发展阶段产生的新产品、材料和装置，建立的新工艺、系统和服务以及作实质性改进后的上述各项能够投入生产或在实际中运用，解决所存在的技术问题而进行的系统的活动。它不具有</w:t>
      </w:r>
      <w:r>
        <w:rPr>
          <w:rFonts w:hint="eastAsia" w:ascii="Times New Roman" w:hAnsi="Times New Roman"/>
          <w:bCs/>
          <w:color w:val="auto"/>
          <w:highlight w:val="none"/>
          <w:lang w:eastAsia="zh-CN"/>
        </w:rPr>
        <w:t>创新成分</w:t>
      </w:r>
      <w:r>
        <w:rPr>
          <w:rFonts w:ascii="Times New Roman" w:hAnsi="Times New Roman"/>
          <w:bCs/>
          <w:color w:val="auto"/>
          <w:highlight w:val="none"/>
        </w:rPr>
        <w:t>。试制与工程化是制造业R&amp;D成果应用活动。</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试制与工程化</w:t>
      </w:r>
      <w:r>
        <w:rPr>
          <w:rFonts w:ascii="Times New Roman" w:hAnsi="Times New Roman"/>
          <w:bCs/>
          <w:color w:val="auto"/>
          <w:szCs w:val="24"/>
          <w:highlight w:val="none"/>
        </w:rPr>
        <w:t>对已有产品作技术上的微小改变或只有外观、色彩、样式等方面的变化；为了设计好新产品、工艺、系统及服务能够投入生产或使用而进行的系统化、规范化、标准化等方面的活动；试生产阶段的活动，如工装准备、小批量生产、试运转；生产过程的质量控制及材料、设备、产品的常规检验、测试。</w:t>
      </w:r>
    </w:p>
    <w:p>
      <w:pPr>
        <w:widowControl/>
        <w:topLinePunct/>
        <w:spacing w:line="400" w:lineRule="exact"/>
        <w:ind w:firstLine="420"/>
        <w:jc w:val="left"/>
        <w:rPr>
          <w:rFonts w:ascii="Times New Roman" w:hAnsi="Times New Roman"/>
          <w:bCs/>
          <w:color w:val="auto"/>
          <w:szCs w:val="18"/>
          <w:highlight w:val="none"/>
        </w:rPr>
      </w:pPr>
      <w:r>
        <w:rPr>
          <w:rFonts w:ascii="Times New Roman" w:hAnsi="Times New Roman" w:eastAsia="黑体"/>
          <w:bCs/>
          <w:color w:val="auto"/>
          <w:szCs w:val="21"/>
          <w:highlight w:val="none"/>
        </w:rPr>
        <w:t>技术咨询</w:t>
      </w:r>
      <w:r>
        <w:rPr>
          <w:rFonts w:ascii="Times New Roman" w:hAnsi="Times New Roman"/>
          <w:bCs/>
          <w:color w:val="auto"/>
          <w:szCs w:val="18"/>
          <w:highlight w:val="none"/>
        </w:rPr>
        <w:t>指就特定技术项目提供可行性论证、技术预测、专题技术调查、分析评价所提供的服务。</w:t>
      </w:r>
    </w:p>
    <w:p>
      <w:pPr>
        <w:widowControl/>
        <w:topLinePunct/>
        <w:spacing w:line="400" w:lineRule="exact"/>
        <w:ind w:firstLine="420"/>
        <w:jc w:val="left"/>
        <w:rPr>
          <w:rFonts w:ascii="Times New Roman" w:hAnsi="Times New Roman"/>
          <w:bCs/>
          <w:color w:val="auto"/>
          <w:szCs w:val="18"/>
          <w:highlight w:val="none"/>
        </w:rPr>
      </w:pPr>
      <w:r>
        <w:rPr>
          <w:rFonts w:ascii="Times New Roman" w:hAnsi="Times New Roman" w:eastAsia="黑体"/>
          <w:bCs/>
          <w:color w:val="auto"/>
          <w:szCs w:val="18"/>
          <w:highlight w:val="none"/>
        </w:rPr>
        <w:t>技术服务</w:t>
      </w:r>
      <w:r>
        <w:rPr>
          <w:rFonts w:ascii="Times New Roman" w:hAnsi="Times New Roman" w:eastAsia="宋体"/>
          <w:bCs/>
          <w:color w:val="auto"/>
          <w:szCs w:val="18"/>
          <w:highlight w:val="none"/>
        </w:rPr>
        <w:t>指</w:t>
      </w:r>
      <w:r>
        <w:rPr>
          <w:rFonts w:ascii="Times New Roman" w:hAnsi="Times New Roman"/>
          <w:bCs/>
          <w:color w:val="auto"/>
          <w:szCs w:val="18"/>
          <w:highlight w:val="none"/>
        </w:rPr>
        <w:t>为解决特定技术问题所提供的服务，包括一般性技术服务、技术中介服务和技术培训服务。</w:t>
      </w:r>
    </w:p>
    <w:p>
      <w:pPr>
        <w:spacing w:line="400" w:lineRule="exact"/>
        <w:ind w:firstLine="420" w:firstLineChars="200"/>
        <w:rPr>
          <w:rFonts w:ascii="宋体" w:hAnsi="宋体"/>
          <w:bCs/>
          <w:color w:val="auto"/>
          <w:szCs w:val="24"/>
          <w:highlight w:val="none"/>
        </w:rPr>
      </w:pPr>
      <w:r>
        <w:rPr>
          <w:rFonts w:ascii="Times New Roman" w:hAnsi="Times New Roman" w:eastAsia="黑体"/>
          <w:bCs/>
          <w:color w:val="auto"/>
          <w:szCs w:val="21"/>
          <w:highlight w:val="none"/>
        </w:rPr>
        <w:t>项目起始日期</w:t>
      </w:r>
      <w:r>
        <w:rPr>
          <w:rFonts w:hint="default" w:ascii="Times New Roman" w:hAnsi="Times New Roman" w:eastAsia="宋体" w:cs="Times New Roman"/>
          <w:bCs/>
          <w:color w:val="auto"/>
          <w:szCs w:val="24"/>
          <w:highlight w:val="none"/>
          <w:lang w:eastAsia="zh-CN"/>
        </w:rPr>
        <w:t>指</w:t>
      </w:r>
      <w:r>
        <w:rPr>
          <w:rFonts w:hint="default" w:ascii="Times New Roman" w:hAnsi="Times New Roman" w:eastAsia="宋体" w:cs="Times New Roman"/>
          <w:bCs/>
          <w:color w:val="auto"/>
          <w:szCs w:val="24"/>
          <w:highlight w:val="none"/>
        </w:rPr>
        <w:t>填写项目</w:t>
      </w:r>
      <w:r>
        <w:rPr>
          <w:rFonts w:hint="eastAsia" w:ascii="宋体" w:hAnsi="宋体"/>
          <w:bCs/>
          <w:color w:val="auto"/>
          <w:szCs w:val="24"/>
          <w:highlight w:val="none"/>
        </w:rPr>
        <w:t>列入企业计划或签订协议后、有组织进行研究开发的年月，即开始动用人力、物力、财力投入到研究开发项目的年月。项目起始日期为6位编码，其中前4位为年份，后2位为月份（1月至9月必须前补0）。</w:t>
      </w:r>
    </w:p>
    <w:p>
      <w:pPr>
        <w:spacing w:line="400" w:lineRule="exact"/>
        <w:ind w:firstLine="420" w:firstLineChars="200"/>
        <w:rPr>
          <w:rFonts w:ascii="宋体" w:hAnsi="宋体"/>
          <w:bCs/>
          <w:color w:val="auto"/>
          <w:szCs w:val="24"/>
          <w:highlight w:val="none"/>
        </w:rPr>
      </w:pPr>
      <w:r>
        <w:rPr>
          <w:rFonts w:ascii="Times New Roman" w:hAnsi="Times New Roman" w:eastAsia="黑体"/>
          <w:bCs/>
          <w:color w:val="auto"/>
          <w:szCs w:val="21"/>
          <w:highlight w:val="none"/>
        </w:rPr>
        <w:t>项目完成日期</w:t>
      </w:r>
      <w:r>
        <w:rPr>
          <w:rFonts w:hint="default" w:ascii="Times New Roman" w:hAnsi="Times New Roman" w:eastAsia="宋体" w:cs="Times New Roman"/>
          <w:bCs/>
          <w:color w:val="auto"/>
          <w:szCs w:val="24"/>
          <w:highlight w:val="none"/>
          <w:lang w:eastAsia="zh-CN"/>
        </w:rPr>
        <w:t>指</w:t>
      </w:r>
      <w:r>
        <w:rPr>
          <w:rFonts w:hint="default" w:ascii="Times New Roman" w:hAnsi="Times New Roman" w:eastAsia="宋体" w:cs="Times New Roman"/>
          <w:bCs/>
          <w:color w:val="auto"/>
          <w:szCs w:val="24"/>
          <w:highlight w:val="none"/>
        </w:rPr>
        <w:t>填写项</w:t>
      </w:r>
      <w:r>
        <w:rPr>
          <w:rFonts w:hint="eastAsia" w:ascii="宋体" w:hAnsi="宋体"/>
          <w:bCs/>
          <w:color w:val="auto"/>
          <w:szCs w:val="24"/>
          <w:highlight w:val="none"/>
        </w:rPr>
        <w:t>目技术鉴定的年月，为6位编码，其中前4位为年份，后2位为月份（1月至9月必须前补0）。如项目至当年底仍在继续进行，填写预期完成时间；如项目年内以失败告终，填写000000；如项目未鉴定就投产，填写投产使用时间。</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跨年项目当年所处主要进展阶段</w:t>
      </w:r>
      <w:r>
        <w:rPr>
          <w:rFonts w:hint="eastAsia" w:ascii="Times New Roman" w:hAnsi="Times New Roman"/>
          <w:bCs/>
          <w:color w:val="auto"/>
          <w:szCs w:val="24"/>
          <w:highlight w:val="none"/>
        </w:rPr>
        <w:t>按项目当年所处最主要进展阶段填写相应代码，具体的分类与代码是：1.研究阶段；2.小试阶段；3.中试阶段；4.试生产阶段。非跨年项目该指标免填。</w:t>
      </w:r>
    </w:p>
    <w:p>
      <w:pPr>
        <w:autoSpaceDN w:val="0"/>
        <w:snapToGrid w:val="0"/>
        <w:spacing w:line="400" w:lineRule="exact"/>
        <w:ind w:firstLine="420" w:firstLineChars="200"/>
        <w:rPr>
          <w:rFonts w:ascii="Times New Roman" w:hAnsi="Times New Roman"/>
          <w:bCs/>
          <w:color w:val="auto"/>
          <w:szCs w:val="24"/>
          <w:highlight w:val="none"/>
        </w:rPr>
      </w:pPr>
      <w:r>
        <w:rPr>
          <w:rFonts w:hint="eastAsia" w:ascii="Times New Roman" w:hAnsi="Times New Roman" w:eastAsia="黑体"/>
          <w:bCs/>
          <w:color w:val="auto"/>
          <w:szCs w:val="21"/>
          <w:highlight w:val="none"/>
        </w:rPr>
        <w:t>项目研究开发人员</w:t>
      </w:r>
      <w:r>
        <w:rPr>
          <w:rFonts w:hint="eastAsia" w:ascii="宋体" w:hAnsi="宋体" w:cs="宋体"/>
          <w:color w:val="auto"/>
          <w:highlight w:val="none"/>
        </w:rPr>
        <w:t>指报告期内编入研究开发项目并实际从事研究开发活动的人员。该指标应与企业会计</w:t>
      </w:r>
      <w:r>
        <w:rPr>
          <w:rFonts w:ascii="宋体" w:hAnsi="宋体" w:cs="宋体"/>
          <w:color w:val="auto"/>
          <w:highlight w:val="none"/>
        </w:rPr>
        <w:t>账中</w:t>
      </w:r>
      <w:r>
        <w:rPr>
          <w:rFonts w:hint="eastAsia" w:ascii="宋体" w:hAnsi="宋体" w:cs="宋体"/>
          <w:color w:val="auto"/>
          <w:highlight w:val="none"/>
        </w:rPr>
        <w:t>有关研究开发会计科目或向税务部门</w:t>
      </w:r>
      <w:r>
        <w:rPr>
          <w:rFonts w:ascii="宋体" w:hAnsi="宋体" w:cs="宋体"/>
          <w:color w:val="auto"/>
          <w:highlight w:val="none"/>
        </w:rPr>
        <w:t>提供的</w:t>
      </w:r>
      <w:r>
        <w:rPr>
          <w:rFonts w:hint="eastAsia" w:ascii="宋体" w:hAnsi="宋体" w:cs="宋体"/>
          <w:color w:val="auto"/>
          <w:highlight w:val="none"/>
        </w:rPr>
        <w:t>研发支出辅助账中人员人工费子科目里参加</w:t>
      </w:r>
      <w:r>
        <w:rPr>
          <w:rFonts w:ascii="宋体" w:hAnsi="宋体" w:cs="宋体"/>
          <w:color w:val="auto"/>
          <w:highlight w:val="none"/>
        </w:rPr>
        <w:t>该</w:t>
      </w:r>
      <w:r>
        <w:rPr>
          <w:rFonts w:hint="eastAsia" w:ascii="宋体" w:hAnsi="宋体" w:cs="宋体"/>
          <w:color w:val="auto"/>
          <w:highlight w:val="none"/>
        </w:rPr>
        <w:t>项目人员对应。若研究开发人员同时参加两个及以上研究开发项目，可重复填报。</w:t>
      </w:r>
      <w:r>
        <w:rPr>
          <w:rFonts w:ascii="Times New Roman" w:hAnsi="Times New Roman"/>
          <w:bCs/>
          <w:color w:val="auto"/>
          <w:szCs w:val="24"/>
          <w:highlight w:val="none"/>
        </w:rPr>
        <w:t>一般不包括企业的科技管理人员。</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项目人员实际工作时间</w:t>
      </w:r>
      <w:r>
        <w:rPr>
          <w:rFonts w:hint="eastAsia" w:ascii="Times New Roman" w:hAnsi="Times New Roman"/>
          <w:bCs/>
          <w:color w:val="auto"/>
          <w:szCs w:val="24"/>
          <w:highlight w:val="none"/>
        </w:rPr>
        <w:t>指报告期内研究开发项目中研究开发人员实际工作的时间总和，按月计算。如某研究开发项目有2个研究开发人员，他们的工作时间分别为7个月和10个月，则该项目人员实际工作时间=1×7+1×10=17（人月）。对于同时参加两个及以上项目的人员，应按项目分别计算工作时间，但每人在报告期内的实际工作时间不得超过12个月。</w:t>
      </w:r>
    </w:p>
    <w:p>
      <w:pPr>
        <w:spacing w:line="400"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项目经费支出</w:t>
      </w:r>
      <w:r>
        <w:rPr>
          <w:rFonts w:hint="eastAsia" w:ascii="Times New Roman" w:hAnsi="Times New Roman"/>
          <w:bCs/>
          <w:color w:val="auto"/>
          <w:szCs w:val="24"/>
          <w:highlight w:val="none"/>
        </w:rPr>
        <w:t>指报告期内用于研究开发项目的实际经费支出，包括人员人工费用、直接投入费用、折旧费用与长期待摊费用、无形资产摊销费用、设计费用、装备调试费用与试验费用、委托外部研究开发费用及其他费用。该指标应与企业会计账中有关研究开发会计科目或向税务部门提供的研发支出辅助账中项目有关费用对应。</w:t>
      </w:r>
    </w:p>
    <w:p>
      <w:pPr>
        <w:snapToGrid w:val="0"/>
        <w:spacing w:line="386" w:lineRule="exact"/>
        <w:ind w:firstLine="420" w:firstLineChars="200"/>
        <w:rPr>
          <w:rFonts w:ascii="Times New Roman" w:hAnsi="Times New Roman"/>
          <w:bCs/>
          <w:color w:val="auto"/>
          <w:szCs w:val="24"/>
          <w:highlight w:val="none"/>
        </w:rPr>
      </w:pPr>
      <w:r>
        <w:rPr>
          <w:rFonts w:ascii="Times New Roman" w:hAnsi="Times New Roman" w:eastAsia="黑体"/>
          <w:bCs/>
          <w:color w:val="auto"/>
          <w:szCs w:val="21"/>
          <w:highlight w:val="none"/>
        </w:rPr>
        <w:t>本年项目经费支出中政府资金</w:t>
      </w:r>
      <w:r>
        <w:rPr>
          <w:rFonts w:hint="eastAsia" w:ascii="Times New Roman" w:hAnsi="Times New Roman"/>
          <w:bCs/>
          <w:color w:val="auto"/>
          <w:szCs w:val="24"/>
          <w:highlight w:val="none"/>
        </w:rPr>
        <w:t>指报告期内研究开发项目中使用的从政府有关部门获得的研究开发经费合计，包括科技专项费、科研基建费、政府专项基金和补贴等。</w:t>
      </w:r>
    </w:p>
    <w:p>
      <w:pPr>
        <w:snapToGrid w:val="0"/>
        <w:spacing w:line="386" w:lineRule="exact"/>
        <w:ind w:firstLine="420" w:firstLineChars="200"/>
        <w:rPr>
          <w:rFonts w:ascii="Times New Roman" w:hAnsi="Times New Roman"/>
          <w:bCs/>
          <w:color w:val="auto"/>
          <w:szCs w:val="24"/>
          <w:highlight w:val="none"/>
        </w:rPr>
      </w:pPr>
      <w:r>
        <w:rPr>
          <w:rFonts w:hint="default" w:ascii="Times New Roman" w:hAnsi="Times New Roman" w:eastAsia="黑体" w:cs="Times New Roman"/>
          <w:b w:val="0"/>
          <w:bCs/>
          <w:color w:val="auto"/>
          <w:szCs w:val="21"/>
          <w:highlight w:val="none"/>
        </w:rPr>
        <w:t>国家级科技计划项目</w:t>
      </w:r>
      <w:r>
        <w:rPr>
          <w:rFonts w:hint="eastAsia"/>
          <w:color w:val="auto"/>
          <w:highlight w:val="none"/>
        </w:rPr>
        <w:t>根据国务院关于深化中央财政科技计划（专项、基金等）管理改革的方案（国发〔2014〕64号），将中央各部门管理的科技计划（专项、基金等）整合形成国家自然科学基金、国家科技重大专项、国家重点研发计划、技术创新引导专项（基金）、基地和人才专项等五类科技计划（专项、基金等）。国家级科技计划项目是指</w:t>
      </w:r>
      <w:r>
        <w:rPr>
          <w:rFonts w:hint="eastAsia"/>
          <w:color w:val="auto"/>
          <w:highlight w:val="none"/>
          <w:lang w:val="en-US" w:eastAsia="zh-CN"/>
        </w:rPr>
        <w:t>企业</w:t>
      </w:r>
      <w:r>
        <w:rPr>
          <w:rFonts w:hint="eastAsia"/>
          <w:color w:val="auto"/>
          <w:highlight w:val="none"/>
        </w:rPr>
        <w:t>申报通过并签订正式任务书的上述5类科技计划项目。</w:t>
      </w:r>
    </w:p>
    <w:p>
      <w:pPr>
        <w:widowControl/>
        <w:jc w:val="center"/>
        <w:outlineLvl w:val="2"/>
        <w:rPr>
          <w:rFonts w:ascii="Times New Roman" w:hAnsi="Times New Roman"/>
          <w:b/>
          <w:color w:val="auto"/>
          <w:kern w:val="0"/>
          <w:sz w:val="28"/>
          <w:szCs w:val="28"/>
          <w:highlight w:val="none"/>
        </w:rPr>
      </w:pPr>
      <w:r>
        <w:rPr>
          <w:rFonts w:ascii="Times New Roman" w:hAnsi="Times New Roman"/>
          <w:bCs/>
          <w:color w:val="auto"/>
          <w:kern w:val="0"/>
          <w:sz w:val="28"/>
          <w:szCs w:val="28"/>
          <w:highlight w:val="none"/>
        </w:rPr>
        <w:br w:type="page"/>
      </w:r>
      <w:bookmarkStart w:id="39" w:name="_Toc121734444"/>
      <w:r>
        <w:rPr>
          <w:rFonts w:ascii="Times New Roman" w:hAnsi="Times New Roman"/>
          <w:b/>
          <w:color w:val="auto"/>
          <w:kern w:val="0"/>
          <w:sz w:val="28"/>
          <w:szCs w:val="28"/>
          <w:highlight w:val="none"/>
        </w:rPr>
        <w:t>研究开发活动及相关情况</w:t>
      </w:r>
      <w:bookmarkEnd w:id="39"/>
    </w:p>
    <w:tbl>
      <w:tblPr>
        <w:tblStyle w:val="9"/>
        <w:tblW w:w="9480" w:type="dxa"/>
        <w:jc w:val="center"/>
        <w:tblLayout w:type="fixed"/>
        <w:tblCellMar>
          <w:top w:w="0" w:type="dxa"/>
          <w:left w:w="108" w:type="dxa"/>
          <w:bottom w:w="0" w:type="dxa"/>
          <w:right w:w="108" w:type="dxa"/>
        </w:tblCellMar>
      </w:tblPr>
      <w:tblGrid>
        <w:gridCol w:w="3297"/>
        <w:gridCol w:w="3120"/>
        <w:gridCol w:w="987"/>
        <w:gridCol w:w="131"/>
        <w:gridCol w:w="861"/>
        <w:gridCol w:w="1084"/>
      </w:tblGrid>
      <w:tr>
        <w:tblPrEx>
          <w:tblCellMar>
            <w:top w:w="0" w:type="dxa"/>
            <w:left w:w="108" w:type="dxa"/>
            <w:bottom w:w="0" w:type="dxa"/>
            <w:right w:w="108" w:type="dxa"/>
          </w:tblCellMar>
        </w:tblPrEx>
        <w:trPr>
          <w:trHeight w:val="283" w:hRule="atLeast"/>
          <w:jc w:val="center"/>
        </w:trPr>
        <w:tc>
          <w:tcPr>
            <w:tcW w:w="6417" w:type="dxa"/>
            <w:gridSpan w:val="2"/>
            <w:noWrap w:val="0"/>
            <w:vAlign w:val="center"/>
          </w:tcPr>
          <w:p>
            <w:pPr>
              <w:snapToGrid w:val="0"/>
              <w:spacing w:line="240" w:lineRule="exact"/>
              <w:rPr>
                <w:rFonts w:ascii="Times New Roman" w:hAnsi="Times New Roman"/>
                <w:bCs/>
                <w:color w:val="auto"/>
                <w:sz w:val="18"/>
                <w:szCs w:val="24"/>
                <w:highlight w:val="none"/>
              </w:rPr>
            </w:pPr>
          </w:p>
        </w:tc>
        <w:tc>
          <w:tcPr>
            <w:tcW w:w="1118" w:type="dxa"/>
            <w:gridSpan w:val="2"/>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表号：</w:t>
            </w:r>
          </w:p>
        </w:tc>
        <w:tc>
          <w:tcPr>
            <w:tcW w:w="1945" w:type="dxa"/>
            <w:gridSpan w:val="2"/>
            <w:noWrap w:val="0"/>
            <w:vAlign w:val="center"/>
          </w:tcPr>
          <w:p>
            <w:pPr>
              <w:spacing w:line="240" w:lineRule="exact"/>
              <w:jc w:val="right"/>
              <w:rPr>
                <w:rFonts w:ascii="Times New Roman" w:hAnsi="Times New Roman"/>
                <w:bCs/>
                <w:color w:val="auto"/>
                <w:sz w:val="18"/>
                <w:szCs w:val="24"/>
                <w:highlight w:val="none"/>
              </w:rPr>
            </w:pPr>
            <w:r>
              <w:rPr>
                <w:rFonts w:ascii="Times New Roman" w:hAnsi="Times New Roman"/>
                <w:bCs/>
                <w:color w:val="auto"/>
                <w:sz w:val="18"/>
                <w:szCs w:val="18"/>
                <w:highlight w:val="none"/>
              </w:rPr>
              <w:t>ＧＱ－００５</w:t>
            </w:r>
            <w:r>
              <w:rPr>
                <w:rFonts w:ascii="Times New Roman" w:hAnsi="Times New Roman"/>
                <w:bCs/>
                <w:color w:val="auto"/>
                <w:sz w:val="18"/>
                <w:highlight w:val="none"/>
              </w:rPr>
              <w:t>表</w:t>
            </w:r>
          </w:p>
        </w:tc>
      </w:tr>
      <w:tr>
        <w:tblPrEx>
          <w:tblCellMar>
            <w:top w:w="0" w:type="dxa"/>
            <w:left w:w="108" w:type="dxa"/>
            <w:bottom w:w="0" w:type="dxa"/>
            <w:right w:w="108" w:type="dxa"/>
          </w:tblCellMar>
        </w:tblPrEx>
        <w:trPr>
          <w:trHeight w:val="283" w:hRule="atLeast"/>
          <w:jc w:val="center"/>
        </w:trPr>
        <w:tc>
          <w:tcPr>
            <w:tcW w:w="6417" w:type="dxa"/>
            <w:gridSpan w:val="2"/>
            <w:noWrap w:val="0"/>
            <w:vAlign w:val="center"/>
          </w:tcPr>
          <w:p>
            <w:pPr>
              <w:snapToGrid w:val="0"/>
              <w:spacing w:line="240" w:lineRule="exact"/>
              <w:rPr>
                <w:rFonts w:ascii="Times New Roman" w:hAnsi="Times New Roman"/>
                <w:bCs/>
                <w:color w:val="auto"/>
                <w:sz w:val="18"/>
                <w:szCs w:val="24"/>
                <w:highlight w:val="none"/>
              </w:rPr>
            </w:pPr>
          </w:p>
        </w:tc>
        <w:tc>
          <w:tcPr>
            <w:tcW w:w="1118" w:type="dxa"/>
            <w:gridSpan w:val="2"/>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制定机关：</w:t>
            </w:r>
          </w:p>
        </w:tc>
        <w:tc>
          <w:tcPr>
            <w:tcW w:w="1945" w:type="dxa"/>
            <w:gridSpan w:val="2"/>
            <w:noWrap w:val="0"/>
            <w:vAlign w:val="center"/>
          </w:tcPr>
          <w:p>
            <w:pPr>
              <w:spacing w:line="240" w:lineRule="exact"/>
              <w:jc w:val="right"/>
              <w:rPr>
                <w:rFonts w:ascii="Times New Roman" w:hAnsi="Times New Roman"/>
                <w:bCs/>
                <w:color w:val="auto"/>
                <w:sz w:val="18"/>
                <w:szCs w:val="24"/>
                <w:highlight w:val="none"/>
              </w:rPr>
            </w:pPr>
            <w:r>
              <w:rPr>
                <w:rFonts w:hint="eastAsia" w:ascii="Times New Roman" w:hAnsi="Times New Roman"/>
                <w:bCs/>
                <w:color w:val="auto"/>
                <w:sz w:val="18"/>
                <w:highlight w:val="none"/>
                <w:lang w:val="en-US" w:eastAsia="zh-CN"/>
              </w:rPr>
              <w:t>工业和信息化</w:t>
            </w:r>
            <w:r>
              <w:rPr>
                <w:rFonts w:ascii="Times New Roman" w:hAnsi="Times New Roman"/>
                <w:bCs/>
                <w:color w:val="auto"/>
                <w:sz w:val="18"/>
                <w:highlight w:val="none"/>
              </w:rPr>
              <w:t>部</w:t>
            </w:r>
          </w:p>
        </w:tc>
      </w:tr>
      <w:tr>
        <w:tblPrEx>
          <w:tblCellMar>
            <w:top w:w="0" w:type="dxa"/>
            <w:left w:w="108" w:type="dxa"/>
            <w:bottom w:w="0" w:type="dxa"/>
            <w:right w:w="108" w:type="dxa"/>
          </w:tblCellMar>
        </w:tblPrEx>
        <w:trPr>
          <w:trHeight w:val="283" w:hRule="atLeast"/>
          <w:jc w:val="center"/>
        </w:trPr>
        <w:tc>
          <w:tcPr>
            <w:tcW w:w="6417" w:type="dxa"/>
            <w:gridSpan w:val="2"/>
            <w:noWrap w:val="0"/>
            <w:vAlign w:val="center"/>
          </w:tcPr>
          <w:p>
            <w:pPr>
              <w:snapToGrid w:val="0"/>
              <w:spacing w:line="240" w:lineRule="exact"/>
              <w:rPr>
                <w:rFonts w:ascii="宋体" w:hAnsi="宋体"/>
                <w:bCs/>
                <w:color w:val="auto"/>
                <w:sz w:val="18"/>
                <w:szCs w:val="24"/>
                <w:highlight w:val="none"/>
              </w:rPr>
            </w:pPr>
          </w:p>
        </w:tc>
        <w:tc>
          <w:tcPr>
            <w:tcW w:w="1118" w:type="dxa"/>
            <w:gridSpan w:val="2"/>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批准机关：</w:t>
            </w:r>
          </w:p>
        </w:tc>
        <w:tc>
          <w:tcPr>
            <w:tcW w:w="1945" w:type="dxa"/>
            <w:gridSpan w:val="2"/>
            <w:noWrap w:val="0"/>
            <w:vAlign w:val="center"/>
          </w:tcPr>
          <w:p>
            <w:pPr>
              <w:spacing w:line="240" w:lineRule="exact"/>
              <w:jc w:val="right"/>
              <w:rPr>
                <w:rFonts w:ascii="Times New Roman" w:hAnsi="Times New Roman"/>
                <w:bCs/>
                <w:color w:val="auto"/>
                <w:sz w:val="18"/>
                <w:szCs w:val="24"/>
                <w:highlight w:val="none"/>
              </w:rPr>
            </w:pPr>
            <w:r>
              <w:rPr>
                <w:rFonts w:ascii="Times New Roman" w:hAnsi="Times New Roman"/>
                <w:bCs/>
                <w:color w:val="auto"/>
                <w:sz w:val="18"/>
                <w:highlight w:val="none"/>
              </w:rPr>
              <w:t>国家统计局</w:t>
            </w:r>
          </w:p>
        </w:tc>
      </w:tr>
      <w:tr>
        <w:tblPrEx>
          <w:tblCellMar>
            <w:top w:w="0" w:type="dxa"/>
            <w:left w:w="108" w:type="dxa"/>
            <w:bottom w:w="0" w:type="dxa"/>
            <w:right w:w="108" w:type="dxa"/>
          </w:tblCellMar>
        </w:tblPrEx>
        <w:trPr>
          <w:trHeight w:val="283" w:hRule="atLeast"/>
          <w:jc w:val="center"/>
        </w:trPr>
        <w:tc>
          <w:tcPr>
            <w:tcW w:w="6417" w:type="dxa"/>
            <w:gridSpan w:val="2"/>
            <w:noWrap w:val="0"/>
            <w:vAlign w:val="center"/>
          </w:tcPr>
          <w:p>
            <w:pPr>
              <w:snapToGrid w:val="0"/>
              <w:spacing w:line="240" w:lineRule="exact"/>
              <w:rPr>
                <w:rFonts w:ascii="宋体" w:hAnsi="宋体"/>
                <w:bCs/>
                <w:color w:val="auto"/>
                <w:sz w:val="18"/>
                <w:szCs w:val="24"/>
                <w:highlight w:val="none"/>
              </w:rPr>
            </w:pPr>
            <w:r>
              <w:rPr>
                <w:rFonts w:ascii="宋体" w:hAnsi="宋体"/>
                <w:bCs/>
                <w:color w:val="auto"/>
                <w:sz w:val="18"/>
                <w:szCs w:val="24"/>
                <w:highlight w:val="none"/>
              </w:rPr>
              <w:t>统一社会信用代码</w:t>
            </w:r>
            <w:r>
              <w:rPr>
                <w:rFonts w:ascii="宋体" w:hAnsi="宋体"/>
                <w:bCs/>
                <w:color w:val="auto"/>
                <w:sz w:val="18"/>
                <w:szCs w:val="18"/>
                <w:highlight w:val="none"/>
              </w:rPr>
              <w:t>□□□□□□□□□□□□□□□□□□</w:t>
            </w:r>
          </w:p>
        </w:tc>
        <w:tc>
          <w:tcPr>
            <w:tcW w:w="1118" w:type="dxa"/>
            <w:gridSpan w:val="2"/>
            <w:noWrap w:val="0"/>
            <w:vAlign w:val="center"/>
          </w:tcPr>
          <w:p>
            <w:pPr>
              <w:pStyle w:val="13"/>
              <w:tabs>
                <w:tab w:val="left" w:pos="730"/>
              </w:tabs>
              <w:autoSpaceDE/>
              <w:autoSpaceDN/>
              <w:adjustRightInd/>
              <w:spacing w:before="14" w:line="240" w:lineRule="exact"/>
              <w:jc w:val="both"/>
              <w:rPr>
                <w:rFonts w:ascii="Times New Roman" w:hAnsi="Times New Roman"/>
                <w:bCs/>
                <w:color w:val="auto"/>
                <w:sz w:val="18"/>
                <w:szCs w:val="18"/>
                <w:highlight w:val="none"/>
              </w:rPr>
            </w:pPr>
            <w:r>
              <w:rPr>
                <w:rFonts w:ascii="Times New Roman" w:hAnsi="Times New Roman"/>
                <w:bCs/>
                <w:color w:val="auto"/>
                <w:sz w:val="18"/>
                <w:szCs w:val="18"/>
                <w:highlight w:val="none"/>
              </w:rPr>
              <w:t>批准文号：</w:t>
            </w:r>
          </w:p>
        </w:tc>
        <w:tc>
          <w:tcPr>
            <w:tcW w:w="1945" w:type="dxa"/>
            <w:gridSpan w:val="2"/>
            <w:noWrap w:val="0"/>
            <w:vAlign w:val="center"/>
          </w:tcPr>
          <w:p>
            <w:pPr>
              <w:spacing w:line="240" w:lineRule="exact"/>
              <w:jc w:val="right"/>
              <w:rPr>
                <w:rFonts w:ascii="Times New Roman" w:hAnsi="Times New Roman"/>
                <w:bCs/>
                <w:color w:val="auto"/>
                <w:sz w:val="18"/>
                <w:szCs w:val="18"/>
                <w:highlight w:val="none"/>
              </w:rPr>
            </w:pPr>
            <w:r>
              <w:rPr>
                <w:rFonts w:ascii="Times New Roman" w:hAnsi="Times New Roman"/>
                <w:bCs/>
                <w:color w:val="auto"/>
                <w:sz w:val="18"/>
                <w:highlight w:val="none"/>
              </w:rPr>
              <w:t>国统制〔202</w:t>
            </w:r>
            <w:r>
              <w:rPr>
                <w:rFonts w:hint="eastAsia" w:ascii="Times New Roman" w:hAnsi="Times New Roman"/>
                <w:bCs/>
                <w:color w:val="auto"/>
                <w:sz w:val="18"/>
                <w:highlight w:val="none"/>
                <w:lang w:val="en-US" w:eastAsia="zh-CN"/>
              </w:rPr>
              <w:t>4</w:t>
            </w:r>
            <w:r>
              <w:rPr>
                <w:rFonts w:ascii="Times New Roman" w:hAnsi="Times New Roman"/>
                <w:bCs/>
                <w:color w:val="auto"/>
                <w:sz w:val="18"/>
                <w:highlight w:val="none"/>
              </w:rPr>
              <w:t>〕</w:t>
            </w:r>
            <w:r>
              <w:rPr>
                <w:rFonts w:hint="eastAsia" w:ascii="Times New Roman" w:hAnsi="Times New Roman"/>
                <w:bCs/>
                <w:color w:val="auto"/>
                <w:sz w:val="18"/>
                <w:highlight w:val="none"/>
                <w:lang w:val="en-US" w:eastAsia="zh-CN"/>
              </w:rPr>
              <w:t>187</w:t>
            </w:r>
            <w:r>
              <w:rPr>
                <w:rFonts w:ascii="Times New Roman" w:hAnsi="Times New Roman"/>
                <w:bCs/>
                <w:color w:val="auto"/>
                <w:sz w:val="18"/>
                <w:highlight w:val="none"/>
              </w:rPr>
              <w:t>号</w:t>
            </w:r>
          </w:p>
        </w:tc>
      </w:tr>
      <w:tr>
        <w:tblPrEx>
          <w:tblCellMar>
            <w:top w:w="0" w:type="dxa"/>
            <w:left w:w="108" w:type="dxa"/>
            <w:bottom w:w="0" w:type="dxa"/>
            <w:right w:w="108" w:type="dxa"/>
          </w:tblCellMar>
        </w:tblPrEx>
        <w:trPr>
          <w:trHeight w:val="283" w:hRule="atLeast"/>
          <w:jc w:val="center"/>
        </w:trPr>
        <w:tc>
          <w:tcPr>
            <w:tcW w:w="3297" w:type="dxa"/>
            <w:noWrap w:val="0"/>
            <w:vAlign w:val="center"/>
          </w:tcPr>
          <w:p>
            <w:pPr>
              <w:snapToGrid w:val="0"/>
              <w:spacing w:line="240" w:lineRule="exact"/>
              <w:rPr>
                <w:rFonts w:ascii="Times New Roman" w:hAnsi="Times New Roman"/>
                <w:bCs/>
                <w:color w:val="auto"/>
                <w:sz w:val="18"/>
                <w:szCs w:val="24"/>
                <w:highlight w:val="none"/>
              </w:rPr>
            </w:pPr>
            <w:r>
              <w:rPr>
                <w:rFonts w:ascii="Times New Roman" w:hAnsi="Times New Roman"/>
                <w:bCs/>
                <w:color w:val="auto"/>
                <w:sz w:val="18"/>
                <w:szCs w:val="18"/>
                <w:highlight w:val="none"/>
              </w:rPr>
              <w:t>企业（单位）详细名称：</w:t>
            </w:r>
          </w:p>
        </w:tc>
        <w:tc>
          <w:tcPr>
            <w:tcW w:w="3120" w:type="dxa"/>
            <w:noWrap w:val="0"/>
            <w:vAlign w:val="center"/>
          </w:tcPr>
          <w:p>
            <w:pPr>
              <w:snapToGrid w:val="0"/>
              <w:spacing w:line="24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２０</w:t>
            </w:r>
            <w:r>
              <w:rPr>
                <w:rFonts w:hint="eastAsia"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u w:val="single"/>
              </w:rPr>
              <w:t xml:space="preserve">   </w:t>
            </w:r>
            <w:r>
              <w:rPr>
                <w:rFonts w:ascii="Times New Roman" w:hAnsi="Times New Roman"/>
                <w:bCs/>
                <w:color w:val="auto"/>
                <w:sz w:val="18"/>
                <w:szCs w:val="18"/>
                <w:highlight w:val="none"/>
              </w:rPr>
              <w:t>年</w:t>
            </w:r>
          </w:p>
        </w:tc>
        <w:tc>
          <w:tcPr>
            <w:tcW w:w="1118" w:type="dxa"/>
            <w:gridSpan w:val="2"/>
            <w:noWrap w:val="0"/>
            <w:vAlign w:val="center"/>
          </w:tcPr>
          <w:p>
            <w:pPr>
              <w:snapToGrid w:val="0"/>
              <w:spacing w:line="240" w:lineRule="exact"/>
              <w:rPr>
                <w:rFonts w:ascii="Times New Roman" w:hAnsi="Times New Roman"/>
                <w:bCs/>
                <w:color w:val="auto"/>
                <w:sz w:val="18"/>
                <w:szCs w:val="18"/>
                <w:highlight w:val="none"/>
              </w:rPr>
            </w:pPr>
            <w:r>
              <w:rPr>
                <w:rFonts w:ascii="Times New Roman" w:hAnsi="Times New Roman"/>
                <w:bCs/>
                <w:color w:val="auto"/>
                <w:sz w:val="18"/>
                <w:szCs w:val="18"/>
                <w:highlight w:val="none"/>
              </w:rPr>
              <w:t>有效期至：</w:t>
            </w:r>
          </w:p>
        </w:tc>
        <w:tc>
          <w:tcPr>
            <w:tcW w:w="1945" w:type="dxa"/>
            <w:gridSpan w:val="2"/>
            <w:noWrap w:val="0"/>
            <w:vAlign w:val="center"/>
          </w:tcPr>
          <w:p>
            <w:pPr>
              <w:spacing w:line="240" w:lineRule="exact"/>
              <w:jc w:val="right"/>
              <w:rPr>
                <w:rFonts w:ascii="Times New Roman" w:hAnsi="Times New Roman"/>
                <w:bCs/>
                <w:color w:val="auto"/>
                <w:sz w:val="18"/>
                <w:szCs w:val="18"/>
                <w:highlight w:val="none"/>
              </w:rPr>
            </w:pPr>
            <w:r>
              <w:rPr>
                <w:rFonts w:hint="eastAsia" w:ascii="Times New Roman" w:hAnsi="Times New Roman"/>
                <w:bCs/>
                <w:color w:val="auto"/>
                <w:sz w:val="18"/>
                <w:szCs w:val="18"/>
                <w:highlight w:val="none"/>
                <w:lang w:val="en-US" w:eastAsia="zh-CN"/>
              </w:rPr>
              <w:t>2027</w:t>
            </w:r>
            <w:r>
              <w:rPr>
                <w:rFonts w:ascii="Times New Roman" w:hAnsi="Times New Roman"/>
                <w:bCs/>
                <w:color w:val="auto"/>
                <w:sz w:val="18"/>
                <w:highlight w:val="none"/>
              </w:rPr>
              <w:t>年</w:t>
            </w:r>
            <w:r>
              <w:rPr>
                <w:rFonts w:hint="eastAsia" w:ascii="Times New Roman" w:hAnsi="Times New Roman"/>
                <w:bCs/>
                <w:color w:val="auto"/>
                <w:sz w:val="18"/>
                <w:highlight w:val="none"/>
                <w:lang w:val="en-US" w:eastAsia="zh-CN"/>
              </w:rPr>
              <w:t>12</w:t>
            </w:r>
            <w:r>
              <w:rPr>
                <w:rFonts w:ascii="Times New Roman" w:hAnsi="Times New Roman"/>
                <w:bCs/>
                <w:color w:val="auto"/>
                <w:sz w:val="18"/>
                <w:highlight w:val="none"/>
              </w:rPr>
              <w:t>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8" w:space="0"/>
              <w:bottom w:val="single" w:color="auto" w:sz="4" w:space="0"/>
              <w:right w:val="single" w:color="auto" w:sz="4" w:space="0"/>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指</w:t>
            </w:r>
            <w:r>
              <w:rPr>
                <w:rFonts w:hint="eastAsia" w:ascii="Times New Roman" w:hAnsi="Times New Roman"/>
                <w:bCs/>
                <w:color w:val="auto"/>
                <w:sz w:val="18"/>
                <w:szCs w:val="18"/>
                <w:highlight w:val="none"/>
              </w:rPr>
              <w:t xml:space="preserve"> </w:t>
            </w:r>
            <w:r>
              <w:rPr>
                <w:rFonts w:ascii="Times New Roman" w:hAnsi="Times New Roman"/>
                <w:bCs/>
                <w:color w:val="auto"/>
                <w:sz w:val="18"/>
                <w:szCs w:val="18"/>
                <w:highlight w:val="none"/>
              </w:rPr>
              <w:t>标</w:t>
            </w:r>
            <w:r>
              <w:rPr>
                <w:rFonts w:hint="eastAsia" w:ascii="Times New Roman" w:hAnsi="Times New Roman"/>
                <w:bCs/>
                <w:color w:val="auto"/>
                <w:sz w:val="18"/>
                <w:szCs w:val="18"/>
                <w:highlight w:val="none"/>
              </w:rPr>
              <w:t xml:space="preserve"> </w:t>
            </w:r>
            <w:r>
              <w:rPr>
                <w:rFonts w:ascii="Times New Roman" w:hAnsi="Times New Roman"/>
                <w:bCs/>
                <w:color w:val="auto"/>
                <w:sz w:val="18"/>
                <w:szCs w:val="18"/>
                <w:highlight w:val="none"/>
              </w:rPr>
              <w:t>名</w:t>
            </w:r>
            <w:r>
              <w:rPr>
                <w:rFonts w:hint="eastAsia" w:ascii="Times New Roman" w:hAnsi="Times New Roman"/>
                <w:bCs/>
                <w:color w:val="auto"/>
                <w:sz w:val="18"/>
                <w:szCs w:val="18"/>
                <w:highlight w:val="none"/>
              </w:rPr>
              <w:t xml:space="preserve"> </w:t>
            </w:r>
            <w:r>
              <w:rPr>
                <w:rFonts w:ascii="Times New Roman" w:hAnsi="Times New Roman"/>
                <w:bCs/>
                <w:color w:val="auto"/>
                <w:sz w:val="18"/>
                <w:szCs w:val="18"/>
                <w:highlight w:val="none"/>
              </w:rPr>
              <w:t>称</w:t>
            </w:r>
          </w:p>
        </w:tc>
        <w:tc>
          <w:tcPr>
            <w:tcW w:w="987" w:type="dxa"/>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计量单位</w:t>
            </w:r>
          </w:p>
        </w:tc>
        <w:tc>
          <w:tcPr>
            <w:tcW w:w="992" w:type="dxa"/>
            <w:gridSpan w:val="2"/>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szCs w:val="24"/>
                <w:highlight w:val="none"/>
              </w:rPr>
            </w:pPr>
            <w:r>
              <w:rPr>
                <w:rFonts w:ascii="Times New Roman" w:hAnsi="Times New Roman"/>
                <w:bCs/>
                <w:color w:val="auto"/>
                <w:sz w:val="18"/>
                <w:szCs w:val="18"/>
                <w:highlight w:val="none"/>
              </w:rPr>
              <w:t>代</w:t>
            </w:r>
            <w:r>
              <w:rPr>
                <w:rFonts w:hint="eastAsia" w:ascii="Times New Roman" w:hAnsi="Times New Roman"/>
                <w:bCs/>
                <w:color w:val="auto"/>
                <w:sz w:val="18"/>
                <w:szCs w:val="18"/>
                <w:highlight w:val="none"/>
              </w:rPr>
              <w:t xml:space="preserve"> </w:t>
            </w:r>
            <w:r>
              <w:rPr>
                <w:rFonts w:ascii="Times New Roman" w:hAnsi="Times New Roman"/>
                <w:bCs/>
                <w:color w:val="auto"/>
                <w:sz w:val="18"/>
                <w:szCs w:val="18"/>
                <w:highlight w:val="none"/>
              </w:rPr>
              <w:t>码</w:t>
            </w:r>
          </w:p>
        </w:tc>
        <w:tc>
          <w:tcPr>
            <w:tcW w:w="1084" w:type="dxa"/>
            <w:tcBorders>
              <w:top w:val="single" w:color="auto" w:sz="8" w:space="0"/>
              <w:left w:val="single" w:color="auto" w:sz="4" w:space="0"/>
              <w:bottom w:val="single" w:color="auto" w:sz="4" w:space="0"/>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甲</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乙</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丙</w:t>
            </w:r>
          </w:p>
        </w:tc>
        <w:tc>
          <w:tcPr>
            <w:tcW w:w="1084" w:type="dxa"/>
            <w:tcBorders>
              <w:top w:val="single" w:color="auto" w:sz="4" w:space="0"/>
              <w:left w:val="single" w:color="auto" w:sz="4" w:space="0"/>
              <w:bottom w:val="single" w:color="auto" w:sz="4" w:space="0"/>
            </w:tcBorders>
            <w:noWrap w:val="0"/>
            <w:vAlign w:val="center"/>
          </w:tcPr>
          <w:p>
            <w:pPr>
              <w:spacing w:line="280" w:lineRule="exact"/>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一、研究开发人员情况</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c>
          <w:tcPr>
            <w:tcW w:w="1084" w:type="dxa"/>
            <w:tcBorders>
              <w:top w:val="single" w:color="auto" w:sz="4" w:space="0"/>
              <w:left w:val="single" w:color="auto" w:sz="4" w:space="0"/>
              <w:bottom w:val="single" w:color="auto" w:sz="4" w:space="0"/>
            </w:tcBorders>
            <w:noWrap w:val="0"/>
            <w:vAlign w:val="center"/>
          </w:tcPr>
          <w:p>
            <w:pPr>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jc w:val="left"/>
              <w:rPr>
                <w:rFonts w:ascii="Calibri" w:hAnsi="Calibri" w:cs="Calibri"/>
                <w:bCs/>
                <w:color w:val="auto"/>
                <w:kern w:val="0"/>
                <w:sz w:val="18"/>
                <w:szCs w:val="18"/>
                <w:highlight w:val="none"/>
              </w:rPr>
            </w:pPr>
            <w:r>
              <w:rPr>
                <w:rFonts w:ascii="Calibri" w:hAnsi="Calibri" w:cs="Calibri"/>
                <w:bCs/>
                <w:color w:val="auto"/>
                <w:kern w:val="0"/>
                <w:sz w:val="18"/>
                <w:szCs w:val="18"/>
                <w:highlight w:val="none"/>
              </w:rPr>
              <w:t>研究开发人员合计</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人</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szCs w:val="24"/>
                <w:highlight w:val="none"/>
              </w:rPr>
            </w:pPr>
            <w:r>
              <w:rPr>
                <w:rFonts w:cs="Calibri"/>
                <w:bCs/>
                <w:color w:val="auto"/>
                <w:kern w:val="0"/>
                <w:sz w:val="18"/>
                <w:szCs w:val="18"/>
                <w:highlight w:val="none"/>
              </w:rPr>
              <w:t>QJ09</w:t>
            </w:r>
          </w:p>
        </w:tc>
        <w:tc>
          <w:tcPr>
            <w:tcW w:w="1084" w:type="dxa"/>
            <w:tcBorders>
              <w:top w:val="single" w:color="auto" w:sz="4" w:space="0"/>
              <w:left w:val="single" w:color="auto" w:sz="4" w:space="0"/>
              <w:bottom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其中：管理和服务人员</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人</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QJ67</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其中：全职人员</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31" w:leftChars="-15" w:right="-105" w:rightChars="-50"/>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人</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QJ09_1</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31" w:leftChars="-15"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其中：本科毕业及以上人员</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31" w:leftChars="-15" w:right="-105" w:rightChars="-50"/>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人</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QJ09_2</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31" w:leftChars="-15"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其中：外聘人员</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31" w:leftChars="-15" w:right="-105" w:rightChars="-50"/>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人</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QJ09_3</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31" w:leftChars="-15"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
                <w:color w:val="auto"/>
                <w:kern w:val="0"/>
                <w:sz w:val="18"/>
                <w:szCs w:val="18"/>
                <w:highlight w:val="none"/>
              </w:rPr>
            </w:pPr>
            <w:r>
              <w:rPr>
                <w:rFonts w:ascii="Calibri" w:hAnsi="Calibri" w:cs="Calibri"/>
                <w:b/>
                <w:color w:val="auto"/>
                <w:sz w:val="18"/>
                <w:szCs w:val="18"/>
                <w:highlight w:val="none"/>
              </w:rPr>
              <w:t>二</w:t>
            </w:r>
            <w:r>
              <w:rPr>
                <w:rFonts w:ascii="Calibri" w:hAnsi="Calibri" w:cs="Calibri"/>
                <w:b/>
                <w:color w:val="auto"/>
                <w:kern w:val="0"/>
                <w:sz w:val="18"/>
                <w:szCs w:val="18"/>
                <w:highlight w:val="none"/>
              </w:rPr>
              <w:t>、研究开发费用情况</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cs="Calibri"/>
                <w:bCs/>
                <w:color w:val="auto"/>
                <w:szCs w:val="24"/>
                <w:highlight w:val="none"/>
              </w:rPr>
            </w:pPr>
            <w:r>
              <w:rPr>
                <w:rFonts w:cs="Calibri"/>
                <w:bCs/>
                <w:color w:val="auto"/>
                <w:kern w:val="0"/>
                <w:sz w:val="18"/>
                <w:szCs w:val="18"/>
                <w:highlight w:val="none"/>
              </w:rPr>
              <w:t>—</w:t>
            </w:r>
          </w:p>
        </w:tc>
        <w:tc>
          <w:tcPr>
            <w:tcW w:w="1084" w:type="dxa"/>
            <w:tcBorders>
              <w:top w:val="single" w:color="auto" w:sz="4" w:space="0"/>
              <w:left w:val="single" w:color="auto" w:sz="4" w:space="0"/>
              <w:bottom w:val="single" w:color="auto" w:sz="4" w:space="0"/>
              <w:right w:val="nil"/>
            </w:tcBorders>
            <w:noWrap w:val="0"/>
            <w:vAlign w:val="center"/>
          </w:tcPr>
          <w:p>
            <w:pPr>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Cs/>
                <w:color w:val="auto"/>
                <w:kern w:val="0"/>
                <w:sz w:val="18"/>
                <w:szCs w:val="18"/>
                <w:highlight w:val="none"/>
              </w:rPr>
            </w:pPr>
            <w:r>
              <w:rPr>
                <w:rFonts w:ascii="Calibri" w:hAnsi="Calibri" w:cs="Calibri"/>
                <w:bCs/>
                <w:color w:val="auto"/>
                <w:kern w:val="0"/>
                <w:sz w:val="18"/>
                <w:szCs w:val="18"/>
                <w:highlight w:val="none"/>
              </w:rPr>
              <w:t>研究开发费用合计</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QJ20</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其中：人员人工费用</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szCs w:val="24"/>
                <w:highlight w:val="none"/>
              </w:rPr>
            </w:pPr>
            <w:r>
              <w:rPr>
                <w:rFonts w:cs="Calibri"/>
                <w:bCs/>
                <w:color w:val="auto"/>
                <w:kern w:val="0"/>
                <w:sz w:val="18"/>
                <w:szCs w:val="18"/>
                <w:highlight w:val="none"/>
              </w:rPr>
              <w:t>QJ23_1</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其中：直接投入费用</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szCs w:val="24"/>
                <w:highlight w:val="none"/>
              </w:rPr>
            </w:pPr>
            <w:r>
              <w:rPr>
                <w:rFonts w:cs="Calibri"/>
                <w:bCs/>
                <w:color w:val="auto"/>
                <w:kern w:val="0"/>
                <w:sz w:val="18"/>
                <w:szCs w:val="18"/>
                <w:highlight w:val="none"/>
              </w:rPr>
              <w:t>QJ23_2</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其中：折旧费用与长期待摊费用</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szCs w:val="24"/>
                <w:highlight w:val="none"/>
              </w:rPr>
            </w:pPr>
            <w:r>
              <w:rPr>
                <w:rFonts w:cs="Calibri"/>
                <w:bCs/>
                <w:color w:val="auto"/>
                <w:kern w:val="0"/>
                <w:sz w:val="18"/>
                <w:szCs w:val="18"/>
                <w:highlight w:val="none"/>
              </w:rPr>
              <w:t>QJ23_3</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其中：无形资产摊销费用</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szCs w:val="24"/>
                <w:highlight w:val="none"/>
              </w:rPr>
            </w:pPr>
            <w:r>
              <w:rPr>
                <w:rFonts w:cs="Calibri"/>
                <w:bCs/>
                <w:color w:val="auto"/>
                <w:kern w:val="0"/>
                <w:sz w:val="18"/>
                <w:szCs w:val="18"/>
                <w:highlight w:val="none"/>
              </w:rPr>
              <w:t>QJ23_4</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其中：设计费用</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QJ23_6</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其中：装备调试费用与试验费用</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QJ23_7</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其中：委托外部研究开发费用</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QJ33</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810" w:firstLineChars="45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其中：委托境内研究机构</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QJ33_1</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1350" w:firstLineChars="75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委托境内高等学校</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QJ33_2</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1350" w:firstLineChars="75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委托境内企业</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QJ33_4</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1350" w:firstLineChars="75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委托境外机构</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QJ33_3</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其中：其他费用</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szCs w:val="24"/>
                <w:highlight w:val="none"/>
              </w:rPr>
            </w:pPr>
            <w:r>
              <w:rPr>
                <w:rFonts w:cs="Calibri"/>
                <w:bCs/>
                <w:color w:val="auto"/>
                <w:kern w:val="0"/>
                <w:sz w:val="18"/>
                <w:szCs w:val="18"/>
                <w:highlight w:val="none"/>
              </w:rPr>
              <w:t>QJ23_5</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
                <w:color w:val="auto"/>
                <w:kern w:val="0"/>
                <w:sz w:val="18"/>
                <w:szCs w:val="18"/>
                <w:highlight w:val="none"/>
              </w:rPr>
            </w:pPr>
            <w:r>
              <w:rPr>
                <w:rFonts w:ascii="Calibri" w:hAnsi="Calibri" w:cs="Calibri"/>
                <w:b/>
                <w:color w:val="auto"/>
                <w:kern w:val="0"/>
                <w:sz w:val="18"/>
                <w:szCs w:val="18"/>
                <w:highlight w:val="none"/>
              </w:rPr>
              <w:t>三、研究开发资产情况</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Times New Roman" w:hAnsi="Times New Roman"/>
                <w:bCs/>
                <w:color w:val="auto"/>
                <w:sz w:val="18"/>
                <w:szCs w:val="18"/>
                <w:highlight w:val="none"/>
              </w:rPr>
            </w:pPr>
            <w:r>
              <w:rPr>
                <w:rFonts w:ascii="Times New Roman" w:hAnsi="Times New Roman"/>
                <w:bCs/>
                <w:color w:val="auto"/>
                <w:kern w:val="0"/>
                <w:sz w:val="18"/>
                <w:szCs w:val="18"/>
                <w:highlight w:val="none"/>
              </w:rPr>
              <w:t>—</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cs="Calibri"/>
                <w:bCs/>
                <w:color w:val="auto"/>
                <w:kern w:val="0"/>
                <w:sz w:val="18"/>
                <w:szCs w:val="18"/>
                <w:highlight w:val="none"/>
              </w:rPr>
            </w:pPr>
            <w:r>
              <w:rPr>
                <w:rFonts w:cs="Calibri"/>
                <w:bCs/>
                <w:color w:val="auto"/>
                <w:kern w:val="0"/>
                <w:sz w:val="18"/>
                <w:szCs w:val="18"/>
                <w:highlight w:val="none"/>
              </w:rPr>
              <w:t>—</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05" w:leftChars="-50" w:right="-105" w:rightChars="-50"/>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当年形成用于研究开发的固定资产</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QJ250</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rPr>
            </w:pPr>
            <w:r>
              <w:rPr>
                <w:rFonts w:ascii="Calibri" w:hAnsi="Calibri" w:cs="Calibri"/>
                <w:bCs/>
                <w:color w:val="auto"/>
                <w:kern w:val="0"/>
                <w:sz w:val="18"/>
                <w:szCs w:val="18"/>
                <w:highlight w:val="none"/>
              </w:rPr>
              <w:t>其中：仪器和设备</w:t>
            </w:r>
          </w:p>
        </w:tc>
        <w:tc>
          <w:tcPr>
            <w:tcW w:w="9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QJ251</w:t>
            </w:r>
          </w:p>
        </w:tc>
        <w:tc>
          <w:tcPr>
            <w:tcW w:w="1084"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
                <w:color w:val="auto"/>
                <w:kern w:val="0"/>
                <w:sz w:val="18"/>
                <w:szCs w:val="18"/>
                <w:highlight w:val="none"/>
              </w:rPr>
            </w:pPr>
            <w:r>
              <w:rPr>
                <w:rFonts w:ascii="Calibri" w:hAnsi="Calibri" w:cs="Calibri"/>
                <w:b/>
                <w:color w:val="auto"/>
                <w:kern w:val="0"/>
                <w:sz w:val="18"/>
                <w:szCs w:val="18"/>
                <w:highlight w:val="none"/>
              </w:rPr>
              <w:t>四、研究开发支出资金来源情况</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kern w:val="0"/>
                <w:sz w:val="18"/>
                <w:szCs w:val="18"/>
                <w:highlight w:val="none"/>
              </w:rPr>
              <w:t>—</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cs="Calibri"/>
                <w:bCs/>
                <w:color w:val="auto"/>
                <w:sz w:val="18"/>
                <w:szCs w:val="18"/>
                <w:highlight w:val="none"/>
              </w:rPr>
            </w:pPr>
            <w:r>
              <w:rPr>
                <w:rFonts w:cs="Calibri"/>
                <w:bCs/>
                <w:color w:val="auto"/>
                <w:kern w:val="0"/>
                <w:sz w:val="18"/>
                <w:szCs w:val="18"/>
                <w:highlight w:val="none"/>
              </w:rPr>
              <w:t>—</w:t>
            </w:r>
          </w:p>
        </w:tc>
        <w:tc>
          <w:tcPr>
            <w:tcW w:w="1084" w:type="dxa"/>
            <w:tcBorders>
              <w:top w:val="single" w:color="auto" w:sz="4" w:space="0"/>
              <w:left w:val="single" w:color="auto" w:sz="4" w:space="0"/>
              <w:bottom w:val="single" w:color="auto" w:sz="4" w:space="0"/>
              <w:right w:val="nil"/>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Cs/>
                <w:color w:val="auto"/>
                <w:kern w:val="0"/>
                <w:sz w:val="18"/>
                <w:szCs w:val="18"/>
                <w:highlight w:val="none"/>
              </w:rPr>
            </w:pPr>
            <w:r>
              <w:rPr>
                <w:rFonts w:ascii="Calibri" w:hAnsi="Calibri" w:cs="Calibri"/>
                <w:bCs/>
                <w:color w:val="auto"/>
                <w:kern w:val="0"/>
                <w:sz w:val="18"/>
                <w:szCs w:val="18"/>
                <w:highlight w:val="none"/>
              </w:rPr>
              <w:t>来自企业自筹</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cs="Calibri"/>
                <w:bCs/>
                <w:color w:val="auto"/>
                <w:kern w:val="0"/>
                <w:sz w:val="18"/>
                <w:szCs w:val="18"/>
                <w:highlight w:val="none"/>
              </w:rPr>
            </w:pPr>
            <w:r>
              <w:rPr>
                <w:rFonts w:cs="Calibri"/>
                <w:bCs/>
                <w:color w:val="auto"/>
                <w:kern w:val="0"/>
                <w:sz w:val="18"/>
                <w:szCs w:val="18"/>
                <w:highlight w:val="none"/>
              </w:rPr>
              <w:t>QJ256</w:t>
            </w:r>
          </w:p>
        </w:tc>
        <w:tc>
          <w:tcPr>
            <w:tcW w:w="1084" w:type="dxa"/>
            <w:tcBorders>
              <w:top w:val="single" w:color="auto" w:sz="4" w:space="0"/>
              <w:left w:val="single" w:color="auto" w:sz="4" w:space="0"/>
              <w:bottom w:val="single" w:color="auto" w:sz="4" w:space="0"/>
              <w:right w:val="nil"/>
            </w:tcBorders>
            <w:noWrap w:val="0"/>
            <w:vAlign w:val="center"/>
          </w:tcPr>
          <w:p>
            <w:pPr>
              <w:spacing w:line="280" w:lineRule="exact"/>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Cs/>
                <w:color w:val="auto"/>
                <w:kern w:val="0"/>
                <w:sz w:val="18"/>
                <w:szCs w:val="18"/>
                <w:highlight w:val="none"/>
              </w:rPr>
            </w:pPr>
            <w:r>
              <w:rPr>
                <w:rFonts w:ascii="Calibri" w:hAnsi="Calibri" w:cs="Calibri"/>
                <w:bCs/>
                <w:color w:val="auto"/>
                <w:kern w:val="0"/>
                <w:sz w:val="18"/>
                <w:szCs w:val="18"/>
                <w:highlight w:val="none"/>
              </w:rPr>
              <w:t>来自政府部门</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cs="Calibri"/>
                <w:bCs/>
                <w:color w:val="auto"/>
                <w:sz w:val="18"/>
                <w:szCs w:val="18"/>
                <w:highlight w:val="none"/>
              </w:rPr>
            </w:pPr>
            <w:r>
              <w:rPr>
                <w:rFonts w:cs="Calibri"/>
                <w:bCs/>
                <w:color w:val="auto"/>
                <w:kern w:val="0"/>
                <w:sz w:val="18"/>
                <w:szCs w:val="18"/>
                <w:highlight w:val="none"/>
              </w:rPr>
              <w:t>QJ252</w:t>
            </w:r>
          </w:p>
        </w:tc>
        <w:tc>
          <w:tcPr>
            <w:tcW w:w="1084" w:type="dxa"/>
            <w:tcBorders>
              <w:top w:val="single" w:color="auto" w:sz="4" w:space="0"/>
              <w:left w:val="single" w:color="auto" w:sz="4" w:space="0"/>
              <w:bottom w:val="single" w:color="auto" w:sz="4" w:space="0"/>
              <w:right w:val="nil"/>
            </w:tcBorders>
            <w:noWrap w:val="0"/>
            <w:vAlign w:val="center"/>
          </w:tcPr>
          <w:p>
            <w:pPr>
              <w:spacing w:line="280" w:lineRule="exact"/>
              <w:jc w:val="center"/>
              <w:rPr>
                <w:rFonts w:ascii="Times New Roman" w:hAnsi="Times New Roman"/>
                <w:bCs/>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17" w:type="dxa"/>
            <w:gridSpan w:val="2"/>
            <w:tcBorders>
              <w:top w:val="single" w:color="auto" w:sz="4" w:space="0"/>
              <w:bottom w:val="single" w:color="auto" w:sz="8" w:space="0"/>
              <w:right w:val="single" w:color="auto" w:sz="4" w:space="0"/>
            </w:tcBorders>
            <w:noWrap w:val="0"/>
            <w:vAlign w:val="center"/>
          </w:tcPr>
          <w:p>
            <w:pPr>
              <w:widowControl/>
              <w:spacing w:line="280" w:lineRule="exact"/>
              <w:rPr>
                <w:rFonts w:ascii="Calibri" w:hAnsi="Calibri" w:cs="Calibri"/>
                <w:bCs/>
                <w:color w:val="auto"/>
                <w:kern w:val="0"/>
                <w:sz w:val="18"/>
                <w:szCs w:val="18"/>
                <w:highlight w:val="none"/>
              </w:rPr>
            </w:pPr>
            <w:r>
              <w:rPr>
                <w:rFonts w:ascii="Calibri" w:hAnsi="Calibri" w:cs="Calibri"/>
                <w:bCs/>
                <w:color w:val="auto"/>
                <w:sz w:val="18"/>
                <w:szCs w:val="18"/>
                <w:highlight w:val="none"/>
              </w:rPr>
              <w:t>来自银行贷款</w:t>
            </w:r>
          </w:p>
        </w:tc>
        <w:tc>
          <w:tcPr>
            <w:tcW w:w="987" w:type="dxa"/>
            <w:tcBorders>
              <w:top w:val="single" w:color="auto" w:sz="4" w:space="0"/>
              <w:left w:val="single" w:color="auto" w:sz="4" w:space="0"/>
              <w:bottom w:val="single" w:color="auto" w:sz="8" w:space="0"/>
              <w:right w:val="single" w:color="auto" w:sz="4" w:space="0"/>
            </w:tcBorders>
            <w:noWrap w:val="0"/>
            <w:vAlign w:val="top"/>
          </w:tcPr>
          <w:p>
            <w:pPr>
              <w:spacing w:line="280" w:lineRule="exac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千元</w:t>
            </w:r>
          </w:p>
        </w:tc>
        <w:tc>
          <w:tcPr>
            <w:tcW w:w="992" w:type="dxa"/>
            <w:gridSpan w:val="2"/>
            <w:tcBorders>
              <w:top w:val="single" w:color="auto" w:sz="4" w:space="0"/>
              <w:left w:val="single" w:color="auto" w:sz="4" w:space="0"/>
              <w:bottom w:val="single" w:color="auto" w:sz="8" w:space="0"/>
              <w:right w:val="single" w:color="auto" w:sz="4" w:space="0"/>
            </w:tcBorders>
            <w:noWrap w:val="0"/>
            <w:vAlign w:val="top"/>
          </w:tcPr>
          <w:p>
            <w:pPr>
              <w:spacing w:line="280" w:lineRule="exact"/>
              <w:jc w:val="center"/>
              <w:rPr>
                <w:rFonts w:cs="Calibri"/>
                <w:bCs/>
                <w:color w:val="auto"/>
                <w:kern w:val="0"/>
                <w:sz w:val="18"/>
                <w:szCs w:val="18"/>
                <w:highlight w:val="none"/>
              </w:rPr>
            </w:pPr>
            <w:r>
              <w:rPr>
                <w:rFonts w:cs="Calibri"/>
                <w:bCs/>
                <w:color w:val="auto"/>
                <w:kern w:val="0"/>
                <w:sz w:val="18"/>
                <w:szCs w:val="18"/>
                <w:highlight w:val="none"/>
              </w:rPr>
              <w:t>QJ253</w:t>
            </w:r>
          </w:p>
        </w:tc>
        <w:tc>
          <w:tcPr>
            <w:tcW w:w="1084" w:type="dxa"/>
            <w:tcBorders>
              <w:top w:val="single" w:color="auto" w:sz="4" w:space="0"/>
              <w:left w:val="single" w:color="auto" w:sz="4" w:space="0"/>
              <w:bottom w:val="single" w:color="auto" w:sz="8" w:space="0"/>
              <w:right w:val="nil"/>
            </w:tcBorders>
            <w:noWrap w:val="0"/>
            <w:vAlign w:val="center"/>
          </w:tcPr>
          <w:p>
            <w:pPr>
              <w:spacing w:line="280" w:lineRule="exact"/>
              <w:jc w:val="center"/>
              <w:rPr>
                <w:rFonts w:ascii="Times New Roman" w:hAnsi="Times New Roman"/>
                <w:bCs/>
                <w:color w:val="auto"/>
                <w:sz w:val="18"/>
                <w:szCs w:val="18"/>
                <w:highlight w:val="none"/>
              </w:rPr>
            </w:pPr>
          </w:p>
        </w:tc>
      </w:tr>
    </w:tbl>
    <w:p>
      <w:pPr>
        <w:pStyle w:val="2"/>
        <w:spacing w:after="0"/>
        <w:rPr>
          <w:rFonts w:ascii="Times New Roman" w:hAnsi="Times New Roman"/>
          <w:bCs/>
          <w:color w:val="auto"/>
          <w:szCs w:val="24"/>
          <w:highlight w:val="none"/>
        </w:rPr>
      </w:pPr>
      <w:r>
        <w:rPr>
          <w:rFonts w:ascii="Times New Roman" w:hAnsi="Times New Roman"/>
          <w:bCs/>
          <w:color w:val="auto"/>
          <w:highlight w:val="none"/>
        </w:rPr>
        <w:br w:type="page"/>
      </w:r>
      <w:r>
        <w:rPr>
          <w:rFonts w:ascii="Times New Roman" w:hAnsi="Times New Roman" w:eastAsia="宋体" w:cs="Calibri"/>
          <w:bCs/>
          <w:color w:val="auto"/>
          <w:kern w:val="0"/>
          <w:sz w:val="18"/>
          <w:szCs w:val="18"/>
          <w:highlight w:val="none"/>
        </w:rPr>
        <w:t>续表一：</w:t>
      </w:r>
    </w:p>
    <w:tbl>
      <w:tblPr>
        <w:tblStyle w:val="9"/>
        <w:tblW w:w="938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32"/>
        <w:gridCol w:w="996"/>
        <w:gridCol w:w="982"/>
        <w:gridCol w:w="10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8" w:space="0"/>
              <w:bottom w:val="single" w:color="auto" w:sz="4" w:space="0"/>
              <w:right w:val="single" w:color="auto" w:sz="4" w:space="0"/>
            </w:tcBorders>
            <w:noWrap w:val="0"/>
            <w:vAlign w:val="center"/>
          </w:tcPr>
          <w:p>
            <w:pPr>
              <w:widowControl/>
              <w:spacing w:line="280" w:lineRule="exact"/>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指</w:t>
            </w:r>
            <w:r>
              <w:rPr>
                <w:rFonts w:hint="eastAsia" w:ascii="Times New Roman" w:hAnsi="Times New Roman"/>
                <w:bCs/>
                <w:color w:val="auto"/>
                <w:sz w:val="18"/>
                <w:szCs w:val="18"/>
                <w:highlight w:val="none"/>
              </w:rPr>
              <w:t xml:space="preserve"> </w:t>
            </w:r>
            <w:r>
              <w:rPr>
                <w:rFonts w:ascii="Times New Roman" w:hAnsi="Times New Roman"/>
                <w:bCs/>
                <w:color w:val="auto"/>
                <w:sz w:val="18"/>
                <w:szCs w:val="18"/>
                <w:highlight w:val="none"/>
              </w:rPr>
              <w:t>标</w:t>
            </w:r>
            <w:r>
              <w:rPr>
                <w:rFonts w:hint="eastAsia" w:ascii="Times New Roman" w:hAnsi="Times New Roman"/>
                <w:bCs/>
                <w:color w:val="auto"/>
                <w:sz w:val="18"/>
                <w:szCs w:val="18"/>
                <w:highlight w:val="none"/>
              </w:rPr>
              <w:t xml:space="preserve"> </w:t>
            </w:r>
            <w:r>
              <w:rPr>
                <w:rFonts w:ascii="Times New Roman" w:hAnsi="Times New Roman"/>
                <w:bCs/>
                <w:color w:val="auto"/>
                <w:sz w:val="18"/>
                <w:szCs w:val="18"/>
                <w:highlight w:val="none"/>
              </w:rPr>
              <w:t>名</w:t>
            </w:r>
            <w:r>
              <w:rPr>
                <w:rFonts w:hint="eastAsia" w:ascii="Times New Roman" w:hAnsi="Times New Roman"/>
                <w:bCs/>
                <w:color w:val="auto"/>
                <w:sz w:val="18"/>
                <w:szCs w:val="18"/>
                <w:highlight w:val="none"/>
              </w:rPr>
              <w:t xml:space="preserve"> </w:t>
            </w:r>
            <w:r>
              <w:rPr>
                <w:rFonts w:ascii="Times New Roman" w:hAnsi="Times New Roman"/>
                <w:bCs/>
                <w:color w:val="auto"/>
                <w:sz w:val="18"/>
                <w:szCs w:val="18"/>
                <w:highlight w:val="none"/>
              </w:rPr>
              <w:t>称</w:t>
            </w:r>
          </w:p>
        </w:tc>
        <w:tc>
          <w:tcPr>
            <w:tcW w:w="996" w:type="dxa"/>
            <w:tcBorders>
              <w:top w:val="single" w:color="auto" w:sz="8"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计量单位</w:t>
            </w:r>
          </w:p>
        </w:tc>
        <w:tc>
          <w:tcPr>
            <w:tcW w:w="982" w:type="dxa"/>
            <w:tcBorders>
              <w:top w:val="single" w:color="auto" w:sz="8"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代</w:t>
            </w:r>
            <w:r>
              <w:rPr>
                <w:rFonts w:hint="eastAsia" w:ascii="Times New Roman" w:hAnsi="Times New Roman"/>
                <w:bCs/>
                <w:color w:val="auto"/>
                <w:sz w:val="18"/>
                <w:szCs w:val="18"/>
                <w:highlight w:val="none"/>
              </w:rPr>
              <w:t xml:space="preserve"> </w:t>
            </w:r>
            <w:r>
              <w:rPr>
                <w:rFonts w:ascii="Times New Roman" w:hAnsi="Times New Roman"/>
                <w:bCs/>
                <w:color w:val="auto"/>
                <w:sz w:val="18"/>
                <w:szCs w:val="18"/>
                <w:highlight w:val="none"/>
              </w:rPr>
              <w:t>码</w:t>
            </w:r>
          </w:p>
        </w:tc>
        <w:tc>
          <w:tcPr>
            <w:tcW w:w="1077" w:type="dxa"/>
            <w:tcBorders>
              <w:top w:val="single" w:color="auto" w:sz="8"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r>
              <w:rPr>
                <w:rFonts w:ascii="Times New Roman" w:hAnsi="Times New Roman"/>
                <w:bCs/>
                <w:color w:val="auto"/>
                <w:sz w:val="18"/>
                <w:szCs w:val="18"/>
                <w:highlight w:val="none"/>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jc w:val="center"/>
              <w:rPr>
                <w:rFonts w:cs="Calibri"/>
                <w:bCs/>
                <w:color w:val="auto"/>
                <w:kern w:val="0"/>
                <w:sz w:val="18"/>
                <w:szCs w:val="18"/>
                <w:highlight w:val="none"/>
              </w:rPr>
            </w:pPr>
            <w:r>
              <w:rPr>
                <w:rFonts w:cs="Calibri"/>
                <w:bCs/>
                <w:color w:val="auto"/>
                <w:kern w:val="0"/>
                <w:sz w:val="18"/>
                <w:szCs w:val="18"/>
                <w:highlight w:val="none"/>
              </w:rPr>
              <w:t>甲</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乙</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丙</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0" w:firstLineChars="0"/>
              <w:rPr>
                <w:rFonts w:ascii="Calibri" w:hAnsi="Calibri" w:cs="Calibri"/>
                <w:bCs/>
                <w:color w:val="auto"/>
                <w:kern w:val="2"/>
                <w:sz w:val="18"/>
                <w:szCs w:val="18"/>
                <w:highlight w:val="none"/>
                <w:lang w:val="en-US" w:eastAsia="zh-CN" w:bidi="ar-SA"/>
              </w:rPr>
            </w:pPr>
            <w:r>
              <w:rPr>
                <w:rFonts w:ascii="Calibri" w:hAnsi="Calibri" w:cs="Calibri"/>
                <w:bCs/>
                <w:color w:val="auto"/>
                <w:sz w:val="18"/>
                <w:szCs w:val="18"/>
                <w:highlight w:val="none"/>
              </w:rPr>
              <w:t>来自风险投资</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0" w:leftChars="0" w:right="0" w:rightChars="0" w:firstLine="0" w:firstLineChars="0"/>
              <w:jc w:val="center"/>
              <w:rPr>
                <w:rFonts w:ascii="Times New Roman" w:hAnsi="Times New Roman"/>
                <w:bCs/>
                <w:color w:val="auto"/>
                <w:kern w:val="2"/>
                <w:sz w:val="18"/>
                <w:szCs w:val="18"/>
                <w:highlight w:val="none"/>
                <w:lang w:val="en-US" w:eastAsia="zh-CN" w:bidi="ar-SA"/>
              </w:rPr>
            </w:pPr>
            <w:r>
              <w:rPr>
                <w:rFonts w:ascii="Times New Roman" w:hAnsi="Times New Roman"/>
                <w:bCs/>
                <w:color w:val="auto"/>
                <w:sz w:val="18"/>
                <w:szCs w:val="18"/>
                <w:highlight w:val="none"/>
              </w:rPr>
              <w:t>千元</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0" w:leftChars="0" w:right="0" w:rightChars="0" w:firstLine="0" w:firstLineChars="0"/>
              <w:jc w:val="center"/>
              <w:rPr>
                <w:rFonts w:cs="Calibri"/>
                <w:bCs/>
                <w:color w:val="auto"/>
                <w:kern w:val="0"/>
                <w:sz w:val="18"/>
                <w:szCs w:val="18"/>
                <w:highlight w:val="none"/>
                <w:lang w:val="en-US" w:eastAsia="zh-CN" w:bidi="ar-SA"/>
              </w:rPr>
            </w:pPr>
            <w:r>
              <w:rPr>
                <w:rFonts w:cs="Calibri"/>
                <w:bCs/>
                <w:color w:val="auto"/>
                <w:kern w:val="0"/>
                <w:sz w:val="18"/>
                <w:szCs w:val="18"/>
                <w:highlight w:val="none"/>
              </w:rPr>
              <w:t>QJ254</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0" w:leftChars="0" w:right="0" w:rightChars="0" w:firstLine="0" w:firstLineChars="0"/>
              <w:jc w:val="center"/>
              <w:rPr>
                <w:rFonts w:ascii="Times New Roman" w:hAnsi="Times New Roman"/>
                <w:bCs/>
                <w:color w:val="auto"/>
                <w:kern w:val="2"/>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Cs/>
                <w:color w:val="auto"/>
                <w:kern w:val="2"/>
                <w:sz w:val="18"/>
                <w:szCs w:val="18"/>
                <w:highlight w:val="none"/>
                <w:lang w:val="en-US" w:eastAsia="zh-CN" w:bidi="ar-SA"/>
              </w:rPr>
            </w:pPr>
            <w:r>
              <w:rPr>
                <w:rFonts w:ascii="Calibri" w:hAnsi="Calibri" w:cs="Calibri"/>
                <w:bCs/>
                <w:color w:val="auto"/>
                <w:sz w:val="18"/>
                <w:szCs w:val="18"/>
                <w:highlight w:val="none"/>
              </w:rPr>
              <w:t>来自其他渠道</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kern w:val="2"/>
                <w:sz w:val="18"/>
                <w:szCs w:val="18"/>
                <w:highlight w:val="none"/>
                <w:lang w:val="en-US" w:eastAsia="zh-CN" w:bidi="ar-SA"/>
              </w:rPr>
            </w:pPr>
            <w:r>
              <w:rPr>
                <w:rFonts w:ascii="Times New Roman" w:hAnsi="Times New Roman"/>
                <w:bCs/>
                <w:color w:val="auto"/>
                <w:sz w:val="18"/>
                <w:szCs w:val="18"/>
                <w:highlight w:val="none"/>
              </w:rPr>
              <w:t>千元</w:t>
            </w: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cs="Calibri"/>
                <w:bCs/>
                <w:color w:val="auto"/>
                <w:kern w:val="0"/>
                <w:sz w:val="18"/>
                <w:szCs w:val="18"/>
                <w:highlight w:val="none"/>
                <w:lang w:val="en-US" w:eastAsia="zh-CN" w:bidi="ar-SA"/>
              </w:rPr>
            </w:pPr>
            <w:r>
              <w:rPr>
                <w:rFonts w:cs="Calibri"/>
                <w:bCs/>
                <w:color w:val="auto"/>
                <w:kern w:val="0"/>
                <w:sz w:val="18"/>
                <w:szCs w:val="18"/>
                <w:highlight w:val="none"/>
              </w:rPr>
              <w:t>QJ255</w:t>
            </w:r>
          </w:p>
        </w:tc>
        <w:tc>
          <w:tcPr>
            <w:tcW w:w="1077" w:type="dxa"/>
            <w:tcBorders>
              <w:top w:val="single" w:color="auto" w:sz="4" w:space="0"/>
              <w:left w:val="single" w:color="auto" w:sz="4" w:space="0"/>
              <w:bottom w:val="single" w:color="auto" w:sz="4" w:space="0"/>
              <w:right w:val="nil"/>
            </w:tcBorders>
            <w:noWrap w:val="0"/>
            <w:vAlign w:val="center"/>
          </w:tcPr>
          <w:p>
            <w:pPr>
              <w:spacing w:line="280" w:lineRule="exact"/>
              <w:jc w:val="center"/>
              <w:rPr>
                <w:rFonts w:ascii="Times New Roman" w:hAnsi="Times New Roman"/>
                <w:bCs/>
                <w:color w:val="auto"/>
                <w:kern w:val="2"/>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
                <w:color w:val="auto"/>
                <w:kern w:val="0"/>
                <w:sz w:val="18"/>
                <w:szCs w:val="18"/>
                <w:highlight w:val="none"/>
                <w:lang w:val="en-US" w:eastAsia="zh-CN" w:bidi="ar-SA"/>
              </w:rPr>
            </w:pPr>
            <w:r>
              <w:rPr>
                <w:rFonts w:ascii="Calibri" w:hAnsi="Calibri" w:eastAsia="宋体" w:cs="Calibri"/>
                <w:b/>
                <w:color w:val="auto"/>
                <w:kern w:val="0"/>
                <w:sz w:val="18"/>
                <w:szCs w:val="18"/>
                <w:highlight w:val="none"/>
              </w:rPr>
              <w:t>五、</w:t>
            </w:r>
            <w:r>
              <w:rPr>
                <w:rFonts w:hint="default" w:ascii="Calibri" w:hAnsi="Calibri" w:eastAsia="宋体" w:cs="Calibri"/>
                <w:b/>
                <w:color w:val="auto"/>
                <w:kern w:val="0"/>
                <w:sz w:val="18"/>
                <w:szCs w:val="18"/>
                <w:highlight w:val="none"/>
              </w:rPr>
              <w:t>企业办研究开发机构（境内）情况</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bCs/>
                <w:color w:val="auto"/>
                <w:kern w:val="2"/>
                <w:sz w:val="21"/>
                <w:szCs w:val="24"/>
                <w:highlight w:val="none"/>
                <w:lang w:val="en-US" w:eastAsia="zh-CN" w:bidi="ar-SA"/>
              </w:rPr>
            </w:pPr>
            <w:r>
              <w:rPr>
                <w:rFonts w:ascii="Times New Roman" w:hAnsi="Times New Roman"/>
                <w:bCs/>
                <w:color w:val="auto"/>
                <w:kern w:val="0"/>
                <w:sz w:val="18"/>
                <w:szCs w:val="18"/>
                <w:highlight w:val="none"/>
              </w:rPr>
              <w:t>—</w:t>
            </w: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cs="Calibri"/>
                <w:bCs/>
                <w:color w:val="auto"/>
                <w:kern w:val="2"/>
                <w:sz w:val="21"/>
                <w:szCs w:val="24"/>
                <w:highlight w:val="none"/>
                <w:lang w:val="en-US" w:eastAsia="zh-CN" w:bidi="ar-SA"/>
              </w:rPr>
            </w:pPr>
            <w:r>
              <w:rPr>
                <w:rFonts w:cs="Calibri"/>
                <w:bCs/>
                <w:color w:val="auto"/>
                <w:kern w:val="0"/>
                <w:sz w:val="18"/>
                <w:szCs w:val="18"/>
                <w:highlight w:val="none"/>
              </w:rPr>
              <w:t>—</w:t>
            </w:r>
          </w:p>
        </w:tc>
        <w:tc>
          <w:tcPr>
            <w:tcW w:w="1077" w:type="dxa"/>
            <w:tcBorders>
              <w:top w:val="single" w:color="auto" w:sz="4" w:space="0"/>
              <w:left w:val="single" w:color="auto" w:sz="4" w:space="0"/>
              <w:bottom w:val="single" w:color="auto" w:sz="4" w:space="0"/>
              <w:right w:val="nil"/>
            </w:tcBorders>
            <w:noWrap w:val="0"/>
            <w:vAlign w:val="center"/>
          </w:tcPr>
          <w:p>
            <w:pPr>
              <w:spacing w:line="280" w:lineRule="exact"/>
              <w:jc w:val="center"/>
              <w:rPr>
                <w:rFonts w:ascii="Times New Roman" w:hAnsi="Times New Roman"/>
                <w:bCs/>
                <w:color w:val="auto"/>
                <w:kern w:val="2"/>
                <w:sz w:val="21"/>
                <w:szCs w:val="24"/>
                <w:highlight w:val="none"/>
                <w:lang w:val="en-US" w:eastAsia="zh-CN" w:bidi="ar-SA"/>
              </w:rPr>
            </w:pPr>
            <w:r>
              <w:rPr>
                <w:rFonts w:ascii="Times New Roman" w:hAnsi="Times New Roman"/>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Cs/>
                <w:color w:val="auto"/>
                <w:kern w:val="0"/>
                <w:sz w:val="18"/>
                <w:szCs w:val="18"/>
                <w:highlight w:val="none"/>
                <w:lang w:val="en-US" w:eastAsia="zh-CN" w:bidi="ar-SA"/>
              </w:rPr>
            </w:pPr>
            <w:r>
              <w:rPr>
                <w:rFonts w:ascii="Calibri" w:hAnsi="Calibri" w:cs="Calibri"/>
                <w:bCs/>
                <w:color w:val="auto"/>
                <w:kern w:val="0"/>
                <w:sz w:val="18"/>
                <w:szCs w:val="18"/>
                <w:highlight w:val="none"/>
              </w:rPr>
              <w:t>期末机构数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r>
              <w:rPr>
                <w:rFonts w:ascii="Times New Roman" w:hAnsi="Times New Roman"/>
                <w:bCs/>
                <w:color w:val="auto"/>
                <w:kern w:val="0"/>
                <w:sz w:val="18"/>
                <w:szCs w:val="18"/>
                <w:highlight w:val="none"/>
              </w:rPr>
              <w:t>个</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2"/>
                <w:sz w:val="21"/>
                <w:szCs w:val="24"/>
                <w:highlight w:val="none"/>
                <w:lang w:val="en-US" w:eastAsia="zh-CN" w:bidi="ar-SA"/>
              </w:rPr>
            </w:pPr>
            <w:r>
              <w:rPr>
                <w:rFonts w:cs="Calibri"/>
                <w:bCs/>
                <w:color w:val="auto"/>
                <w:kern w:val="0"/>
                <w:sz w:val="18"/>
                <w:szCs w:val="18"/>
                <w:highlight w:val="none"/>
              </w:rPr>
              <w:t>QI01</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ascii="Calibri" w:hAnsi="Calibri" w:cs="Calibri"/>
                <w:bCs/>
                <w:color w:val="auto"/>
                <w:kern w:val="0"/>
                <w:sz w:val="18"/>
                <w:szCs w:val="18"/>
                <w:highlight w:val="none"/>
                <w:lang w:val="en-US" w:eastAsia="zh-CN" w:bidi="ar-SA"/>
              </w:rPr>
            </w:pPr>
            <w:r>
              <w:rPr>
                <w:rFonts w:ascii="Calibri" w:hAnsi="Calibri" w:cs="Calibri"/>
                <w:bCs/>
                <w:color w:val="auto"/>
                <w:kern w:val="0"/>
                <w:sz w:val="18"/>
                <w:szCs w:val="18"/>
                <w:highlight w:val="none"/>
              </w:rPr>
              <w:t>机构研究开发人员</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r>
              <w:rPr>
                <w:rFonts w:ascii="Times New Roman" w:hAnsi="Times New Roman"/>
                <w:bCs/>
                <w:color w:val="auto"/>
                <w:kern w:val="0"/>
                <w:sz w:val="18"/>
                <w:szCs w:val="18"/>
                <w:highlight w:val="none"/>
              </w:rPr>
              <w:t>人</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2"/>
                <w:sz w:val="21"/>
                <w:szCs w:val="24"/>
                <w:highlight w:val="none"/>
                <w:lang w:val="en-US" w:eastAsia="zh-CN" w:bidi="ar-SA"/>
              </w:rPr>
            </w:pPr>
            <w:r>
              <w:rPr>
                <w:rFonts w:cs="Calibri"/>
                <w:bCs/>
                <w:color w:val="auto"/>
                <w:kern w:val="0"/>
                <w:sz w:val="18"/>
                <w:szCs w:val="18"/>
                <w:highlight w:val="none"/>
              </w:rPr>
              <w:t>QI07_0</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ascii="Calibri" w:hAnsi="Calibri" w:cs="Calibri"/>
                <w:bCs/>
                <w:color w:val="auto"/>
                <w:kern w:val="0"/>
                <w:sz w:val="18"/>
                <w:szCs w:val="18"/>
                <w:highlight w:val="none"/>
                <w:lang w:val="en-US" w:eastAsia="zh-CN" w:bidi="ar-SA"/>
              </w:rPr>
            </w:pPr>
            <w:r>
              <w:rPr>
                <w:rFonts w:ascii="Calibri" w:hAnsi="Calibri" w:cs="Calibri"/>
                <w:bCs/>
                <w:color w:val="auto"/>
                <w:kern w:val="0"/>
                <w:sz w:val="18"/>
                <w:szCs w:val="18"/>
                <w:highlight w:val="none"/>
              </w:rPr>
              <w:t>其中：博士毕业</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r>
              <w:rPr>
                <w:rFonts w:ascii="Times New Roman" w:hAnsi="Times New Roman"/>
                <w:bCs/>
                <w:color w:val="auto"/>
                <w:kern w:val="0"/>
                <w:sz w:val="18"/>
                <w:szCs w:val="18"/>
                <w:highlight w:val="none"/>
              </w:rPr>
              <w:t>人</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QI07_1</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900" w:firstLineChars="500"/>
              <w:rPr>
                <w:rFonts w:cs="Calibri"/>
                <w:bCs/>
                <w:color w:val="auto"/>
                <w:kern w:val="0"/>
                <w:sz w:val="18"/>
                <w:szCs w:val="18"/>
                <w:highlight w:val="none"/>
                <w:lang w:val="en-US" w:eastAsia="zh-CN" w:bidi="ar-SA"/>
              </w:rPr>
            </w:pPr>
            <w:r>
              <w:rPr>
                <w:rFonts w:cs="Calibri"/>
                <w:bCs/>
                <w:color w:val="auto"/>
                <w:kern w:val="0"/>
                <w:sz w:val="18"/>
                <w:szCs w:val="18"/>
                <w:highlight w:val="none"/>
              </w:rPr>
              <w:t>硕士毕业</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人</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QI07_2</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rPr>
            </w:pPr>
            <w:r>
              <w:rPr>
                <w:rFonts w:cs="Calibri"/>
                <w:bCs/>
                <w:color w:val="auto"/>
                <w:kern w:val="0"/>
                <w:sz w:val="18"/>
                <w:szCs w:val="18"/>
                <w:highlight w:val="none"/>
              </w:rPr>
              <w:t>机构研究开发费用</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千元</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szCs w:val="24"/>
                <w:highlight w:val="none"/>
              </w:rPr>
            </w:pPr>
            <w:r>
              <w:rPr>
                <w:rFonts w:cs="Calibri"/>
                <w:bCs/>
                <w:color w:val="auto"/>
                <w:kern w:val="0"/>
                <w:sz w:val="18"/>
                <w:szCs w:val="18"/>
                <w:highlight w:val="none"/>
              </w:rPr>
              <w:t>QI14_1</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
                <w:color w:val="auto"/>
                <w:kern w:val="0"/>
                <w:sz w:val="18"/>
                <w:szCs w:val="18"/>
                <w:highlight w:val="none"/>
              </w:rPr>
            </w:pPr>
            <w:r>
              <w:rPr>
                <w:rFonts w:cs="Calibri"/>
                <w:b/>
                <w:color w:val="auto"/>
                <w:kern w:val="0"/>
                <w:sz w:val="18"/>
                <w:szCs w:val="18"/>
                <w:highlight w:val="none"/>
              </w:rPr>
              <w:t>六、研究开发产出及相关情况</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cs="Calibri"/>
                <w:bCs/>
                <w:color w:val="auto"/>
                <w:szCs w:val="24"/>
                <w:highlight w:val="none"/>
              </w:rPr>
            </w:pPr>
            <w:r>
              <w:rPr>
                <w:rFonts w:cs="Calibri"/>
                <w:bCs/>
                <w:color w:val="auto"/>
                <w:kern w:val="0"/>
                <w:sz w:val="18"/>
                <w:szCs w:val="18"/>
                <w:highlight w:val="none"/>
              </w:rPr>
              <w:t>—</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cs="Calibri"/>
                <w:bCs/>
                <w:color w:val="auto"/>
                <w:szCs w:val="24"/>
                <w:highlight w:val="none"/>
              </w:rPr>
            </w:pPr>
            <w:r>
              <w:rPr>
                <w:rFonts w:cs="Calibri"/>
                <w:bCs/>
                <w:color w:val="auto"/>
                <w:kern w:val="0"/>
                <w:sz w:val="18"/>
                <w:szCs w:val="18"/>
                <w:highlight w:val="none"/>
              </w:rPr>
              <w:t>—</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
                <w:color w:val="auto"/>
                <w:kern w:val="0"/>
                <w:sz w:val="18"/>
                <w:szCs w:val="18"/>
                <w:highlight w:val="none"/>
              </w:rPr>
            </w:pPr>
            <w:r>
              <w:rPr>
                <w:rFonts w:cs="Calibri"/>
                <w:b/>
                <w:color w:val="auto"/>
                <w:kern w:val="0"/>
                <w:sz w:val="18"/>
                <w:szCs w:val="18"/>
                <w:highlight w:val="none"/>
              </w:rPr>
              <w:t>（一）自主知识产权情况</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cs="Calibri"/>
                <w:bCs/>
                <w:color w:val="auto"/>
                <w:szCs w:val="24"/>
                <w:highlight w:val="none"/>
              </w:rPr>
            </w:pPr>
            <w:r>
              <w:rPr>
                <w:rFonts w:cs="Calibri"/>
                <w:bCs/>
                <w:color w:val="auto"/>
                <w:kern w:val="0"/>
                <w:sz w:val="18"/>
                <w:szCs w:val="18"/>
                <w:highlight w:val="none"/>
              </w:rPr>
              <w:t>—</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cs="Calibri"/>
                <w:bCs/>
                <w:color w:val="auto"/>
                <w:szCs w:val="24"/>
                <w:highlight w:val="none"/>
              </w:rPr>
            </w:pPr>
            <w:r>
              <w:rPr>
                <w:rFonts w:cs="Calibri"/>
                <w:bCs/>
                <w:color w:val="auto"/>
                <w:kern w:val="0"/>
                <w:sz w:val="18"/>
                <w:szCs w:val="18"/>
                <w:highlight w:val="none"/>
              </w:rPr>
              <w:t>—</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jc w:val="center"/>
              <w:rPr>
                <w:rFonts w:ascii="Times New Roman" w:hAnsi="Times New Roman"/>
                <w:bCs/>
                <w:color w:val="auto"/>
                <w:szCs w:val="24"/>
                <w:highlight w:val="none"/>
              </w:rPr>
            </w:pPr>
            <w:r>
              <w:rPr>
                <w:rFonts w:ascii="Times New Roman" w:hAnsi="Times New Roman"/>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rPr>
            </w:pPr>
            <w:r>
              <w:rPr>
                <w:rFonts w:cs="Calibri"/>
                <w:bCs/>
                <w:color w:val="auto"/>
                <w:kern w:val="0"/>
                <w:sz w:val="18"/>
                <w:szCs w:val="18"/>
                <w:highlight w:val="none"/>
              </w:rPr>
              <w:t>当年专利申请数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szCs w:val="24"/>
                <w:highlight w:val="none"/>
              </w:rPr>
            </w:pPr>
            <w:r>
              <w:rPr>
                <w:rFonts w:cs="Calibri"/>
                <w:bCs/>
                <w:color w:val="auto"/>
                <w:kern w:val="0"/>
                <w:sz w:val="18"/>
                <w:szCs w:val="18"/>
                <w:highlight w:val="none"/>
              </w:rPr>
              <w:t>QJ55</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jc w:val="left"/>
              <w:rPr>
                <w:rFonts w:cs="Calibri"/>
                <w:bCs/>
                <w:color w:val="auto"/>
                <w:kern w:val="0"/>
                <w:sz w:val="18"/>
                <w:szCs w:val="18"/>
                <w:highlight w:val="none"/>
              </w:rPr>
            </w:pPr>
            <w:r>
              <w:rPr>
                <w:rFonts w:cs="Calibri"/>
                <w:bCs/>
                <w:color w:val="auto"/>
                <w:kern w:val="0"/>
                <w:sz w:val="18"/>
                <w:szCs w:val="18"/>
                <w:highlight w:val="none"/>
              </w:rPr>
              <w:t>其中：申请发明专利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QJ56</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900" w:firstLineChars="500"/>
              <w:jc w:val="left"/>
              <w:rPr>
                <w:rFonts w:cs="Calibri"/>
                <w:bCs/>
                <w:color w:val="auto"/>
                <w:kern w:val="0"/>
                <w:sz w:val="18"/>
                <w:szCs w:val="18"/>
                <w:highlight w:val="none"/>
              </w:rPr>
            </w:pPr>
            <w:r>
              <w:rPr>
                <w:rFonts w:cs="Calibri"/>
                <w:bCs/>
                <w:color w:val="auto"/>
                <w:kern w:val="0"/>
                <w:sz w:val="18"/>
                <w:szCs w:val="18"/>
                <w:highlight w:val="none"/>
              </w:rPr>
              <w:t>其中：申请国内发明专利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QJ56_1</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rPr>
            </w:pPr>
            <w:r>
              <w:rPr>
                <w:rFonts w:cs="Calibri"/>
                <w:bCs/>
                <w:color w:val="auto"/>
                <w:kern w:val="0"/>
                <w:sz w:val="18"/>
                <w:szCs w:val="18"/>
                <w:highlight w:val="none"/>
              </w:rPr>
              <w:t>其中：申请欧美日专利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szCs w:val="24"/>
                <w:highlight w:val="none"/>
              </w:rPr>
            </w:pPr>
            <w:r>
              <w:rPr>
                <w:rFonts w:cs="Calibri"/>
                <w:bCs/>
                <w:color w:val="auto"/>
                <w:kern w:val="0"/>
                <w:sz w:val="18"/>
                <w:szCs w:val="18"/>
                <w:highlight w:val="none"/>
              </w:rPr>
              <w:t>QJ55_1</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rPr>
            </w:pPr>
            <w:r>
              <w:rPr>
                <w:rFonts w:cs="Calibri"/>
                <w:bCs/>
                <w:color w:val="auto"/>
                <w:kern w:val="0"/>
                <w:sz w:val="18"/>
                <w:szCs w:val="18"/>
                <w:highlight w:val="none"/>
              </w:rPr>
              <w:t>其中：申请PCT国际专利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QJ55_2</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rPr>
            </w:pPr>
            <w:r>
              <w:rPr>
                <w:rFonts w:cs="Calibri"/>
                <w:bCs/>
                <w:color w:val="auto"/>
                <w:kern w:val="0"/>
                <w:sz w:val="18"/>
                <w:szCs w:val="18"/>
                <w:highlight w:val="none"/>
              </w:rPr>
              <w:t>当年专利授权数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QJ74</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rPr>
            </w:pPr>
            <w:r>
              <w:rPr>
                <w:rFonts w:cs="Calibri"/>
                <w:bCs/>
                <w:color w:val="auto"/>
                <w:kern w:val="0"/>
                <w:sz w:val="18"/>
                <w:szCs w:val="18"/>
                <w:highlight w:val="none"/>
              </w:rPr>
              <w:t>其中：授权发明专利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QJ57</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900" w:firstLineChars="500"/>
              <w:rPr>
                <w:rFonts w:cs="Calibri"/>
                <w:bCs/>
                <w:color w:val="auto"/>
                <w:kern w:val="0"/>
                <w:sz w:val="18"/>
                <w:szCs w:val="18"/>
                <w:highlight w:val="none"/>
              </w:rPr>
            </w:pPr>
            <w:r>
              <w:rPr>
                <w:rFonts w:cs="Calibri"/>
                <w:bCs/>
                <w:color w:val="auto"/>
                <w:kern w:val="0"/>
                <w:sz w:val="18"/>
                <w:szCs w:val="18"/>
                <w:highlight w:val="none"/>
              </w:rPr>
              <w:t>其中：授权国内发明专利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QJ57_1</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rPr>
            </w:pPr>
            <w:r>
              <w:rPr>
                <w:rFonts w:cs="Calibri"/>
                <w:bCs/>
                <w:color w:val="auto"/>
                <w:kern w:val="0"/>
                <w:sz w:val="18"/>
                <w:szCs w:val="18"/>
                <w:highlight w:val="none"/>
              </w:rPr>
              <w:t>其中：授权欧美日专利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QJ75</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rPr>
            </w:pPr>
            <w:r>
              <w:rPr>
                <w:rFonts w:cs="Calibri"/>
                <w:bCs/>
                <w:color w:val="auto"/>
                <w:kern w:val="0"/>
                <w:sz w:val="18"/>
                <w:szCs w:val="18"/>
                <w:highlight w:val="none"/>
              </w:rPr>
              <w:t>期末拥有有效专利数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QJ83</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rPr>
            </w:pPr>
            <w:r>
              <w:rPr>
                <w:rFonts w:cs="Calibri"/>
                <w:bCs/>
                <w:color w:val="auto"/>
                <w:kern w:val="0"/>
                <w:sz w:val="18"/>
                <w:szCs w:val="18"/>
                <w:highlight w:val="none"/>
              </w:rPr>
              <w:t>其中：拥有境外授权专利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QJ83_1</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900" w:firstLineChars="500"/>
              <w:rPr>
                <w:rFonts w:cs="Calibri"/>
                <w:bCs/>
                <w:color w:val="auto"/>
                <w:kern w:val="0"/>
                <w:sz w:val="18"/>
                <w:szCs w:val="18"/>
                <w:highlight w:val="none"/>
              </w:rPr>
            </w:pPr>
            <w:r>
              <w:rPr>
                <w:rFonts w:cs="Calibri"/>
                <w:bCs/>
                <w:color w:val="auto"/>
                <w:kern w:val="0"/>
                <w:sz w:val="18"/>
                <w:szCs w:val="18"/>
                <w:highlight w:val="none"/>
              </w:rPr>
              <w:t>其中：拥有欧美日专利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QJ82</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rPr>
            </w:pPr>
            <w:r>
              <w:rPr>
                <w:rFonts w:cs="Calibri"/>
                <w:bCs/>
                <w:color w:val="auto"/>
                <w:kern w:val="0"/>
                <w:sz w:val="18"/>
                <w:szCs w:val="18"/>
                <w:highlight w:val="none"/>
              </w:rPr>
              <w:t>其中：拥有发明专利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QJ73</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900" w:firstLineChars="500"/>
              <w:rPr>
                <w:rFonts w:cs="Calibri"/>
                <w:bCs/>
                <w:color w:val="auto"/>
                <w:kern w:val="0"/>
                <w:sz w:val="18"/>
                <w:szCs w:val="18"/>
                <w:highlight w:val="none"/>
              </w:rPr>
            </w:pPr>
            <w:r>
              <w:rPr>
                <w:rFonts w:cs="Calibri"/>
                <w:bCs/>
                <w:color w:val="auto"/>
                <w:kern w:val="0"/>
                <w:sz w:val="18"/>
                <w:szCs w:val="18"/>
                <w:highlight w:val="none"/>
              </w:rPr>
              <w:t>其中：境外授权发明专利</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QJ73_1</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rPr>
            </w:pPr>
            <w:r>
              <w:rPr>
                <w:rFonts w:cs="Calibri"/>
                <w:bCs/>
                <w:color w:val="auto"/>
                <w:kern w:val="0"/>
                <w:sz w:val="18"/>
                <w:szCs w:val="18"/>
                <w:highlight w:val="none"/>
              </w:rPr>
              <w:t>专利所有权转让及许可数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件</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QI23</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rPr>
            </w:pPr>
            <w:r>
              <w:rPr>
                <w:rFonts w:cs="Calibri"/>
                <w:bCs/>
                <w:color w:val="auto"/>
                <w:kern w:val="0"/>
                <w:sz w:val="18"/>
                <w:szCs w:val="18"/>
                <w:highlight w:val="none"/>
              </w:rPr>
              <w:t>专利所有权转让及许可收入</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千元</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QI24</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
                <w:color w:val="auto"/>
                <w:kern w:val="0"/>
                <w:sz w:val="18"/>
                <w:szCs w:val="18"/>
                <w:highlight w:val="none"/>
              </w:rPr>
            </w:pPr>
            <w:r>
              <w:rPr>
                <w:rFonts w:cs="Calibri"/>
                <w:b/>
                <w:color w:val="auto"/>
                <w:kern w:val="0"/>
                <w:sz w:val="18"/>
                <w:szCs w:val="18"/>
                <w:highlight w:val="none"/>
              </w:rPr>
              <w:t>（二）新产品情况</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rPr>
            </w:pPr>
            <w:r>
              <w:rPr>
                <w:rFonts w:cs="Calibri"/>
                <w:bCs/>
                <w:color w:val="auto"/>
                <w:kern w:val="0"/>
                <w:sz w:val="18"/>
                <w:szCs w:val="18"/>
                <w:highlight w:val="none"/>
              </w:rPr>
              <w:t>新产品产值</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千元</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QJ70</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rPr>
            </w:pPr>
            <w:r>
              <w:rPr>
                <w:rFonts w:cs="Calibri"/>
                <w:bCs/>
                <w:color w:val="auto"/>
                <w:kern w:val="0"/>
                <w:sz w:val="18"/>
                <w:szCs w:val="18"/>
                <w:highlight w:val="none"/>
              </w:rPr>
              <w:t>新产品销售收入</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千元</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QJ71</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rPr>
            </w:pPr>
            <w:r>
              <w:rPr>
                <w:rFonts w:cs="Calibri"/>
                <w:bCs/>
                <w:color w:val="auto"/>
                <w:kern w:val="0"/>
                <w:sz w:val="18"/>
                <w:szCs w:val="18"/>
                <w:highlight w:val="none"/>
              </w:rPr>
              <w:t>其中：出口</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千元</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QJ72</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
                <w:color w:val="auto"/>
                <w:kern w:val="0"/>
                <w:sz w:val="18"/>
                <w:szCs w:val="18"/>
                <w:highlight w:val="none"/>
              </w:rPr>
            </w:pPr>
            <w:r>
              <w:rPr>
                <w:rFonts w:cs="Calibri"/>
                <w:b/>
                <w:color w:val="auto"/>
                <w:kern w:val="0"/>
                <w:sz w:val="18"/>
                <w:szCs w:val="18"/>
                <w:highlight w:val="none"/>
              </w:rPr>
              <w:t>（三）其他情况</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w:t>
            </w:r>
          </w:p>
        </w:tc>
        <w:tc>
          <w:tcPr>
            <w:tcW w:w="1077"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r>
              <w:rPr>
                <w:rFonts w:ascii="Times New Roman" w:hAnsi="Times New Roman"/>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6332" w:type="dxa"/>
            <w:tcBorders>
              <w:top w:val="single" w:color="auto" w:sz="4" w:space="0"/>
              <w:bottom w:val="single" w:color="auto" w:sz="8" w:space="0"/>
              <w:right w:val="single" w:color="auto" w:sz="4" w:space="0"/>
            </w:tcBorders>
            <w:noWrap w:val="0"/>
            <w:vAlign w:val="center"/>
          </w:tcPr>
          <w:p>
            <w:pPr>
              <w:widowControl/>
              <w:spacing w:line="280" w:lineRule="exact"/>
              <w:rPr>
                <w:rFonts w:cs="Calibri"/>
                <w:bCs/>
                <w:color w:val="auto"/>
                <w:kern w:val="0"/>
                <w:sz w:val="18"/>
                <w:szCs w:val="18"/>
                <w:highlight w:val="none"/>
              </w:rPr>
            </w:pPr>
            <w:r>
              <w:rPr>
                <w:rFonts w:cs="Calibri"/>
                <w:bCs/>
                <w:color w:val="auto"/>
                <w:kern w:val="0"/>
                <w:sz w:val="18"/>
                <w:szCs w:val="18"/>
                <w:highlight w:val="none"/>
              </w:rPr>
              <w:t>发表科技论文</w:t>
            </w:r>
          </w:p>
        </w:tc>
        <w:tc>
          <w:tcPr>
            <w:tcW w:w="996" w:type="dxa"/>
            <w:tcBorders>
              <w:top w:val="single" w:color="auto" w:sz="4" w:space="0"/>
              <w:left w:val="single" w:color="auto" w:sz="4" w:space="0"/>
              <w:bottom w:val="single" w:color="auto" w:sz="8"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篇</w:t>
            </w:r>
          </w:p>
        </w:tc>
        <w:tc>
          <w:tcPr>
            <w:tcW w:w="982" w:type="dxa"/>
            <w:tcBorders>
              <w:top w:val="single" w:color="auto" w:sz="4" w:space="0"/>
              <w:left w:val="single" w:color="auto" w:sz="4" w:space="0"/>
              <w:bottom w:val="single" w:color="auto" w:sz="8"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rPr>
            </w:pPr>
            <w:r>
              <w:rPr>
                <w:rFonts w:cs="Calibri"/>
                <w:bCs/>
                <w:color w:val="auto"/>
                <w:kern w:val="0"/>
                <w:sz w:val="18"/>
                <w:szCs w:val="18"/>
                <w:highlight w:val="none"/>
              </w:rPr>
              <w:t>QI25</w:t>
            </w:r>
          </w:p>
        </w:tc>
        <w:tc>
          <w:tcPr>
            <w:tcW w:w="1077" w:type="dxa"/>
            <w:tcBorders>
              <w:top w:val="single" w:color="auto" w:sz="4" w:space="0"/>
              <w:left w:val="single" w:color="auto" w:sz="4" w:space="0"/>
              <w:bottom w:val="single" w:color="auto" w:sz="8"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rPr>
            </w:pPr>
          </w:p>
        </w:tc>
      </w:tr>
    </w:tbl>
    <w:p>
      <w:pPr>
        <w:rPr>
          <w:bCs/>
          <w:color w:val="auto"/>
          <w:highlight w:val="none"/>
        </w:rPr>
      </w:pPr>
      <w:r>
        <w:rPr>
          <w:bCs/>
          <w:color w:val="auto"/>
          <w:kern w:val="0"/>
          <w:sz w:val="18"/>
          <w:szCs w:val="18"/>
          <w:highlight w:val="none"/>
        </w:rPr>
        <w:t>续表二：</w:t>
      </w:r>
    </w:p>
    <w:tbl>
      <w:tblPr>
        <w:tblStyle w:val="9"/>
        <w:tblW w:w="937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32"/>
        <w:gridCol w:w="996"/>
        <w:gridCol w:w="995"/>
        <w:gridCol w:w="10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8" w:space="0"/>
              <w:bottom w:val="single" w:color="auto" w:sz="4" w:space="0"/>
              <w:right w:val="single" w:color="auto" w:sz="4" w:space="0"/>
            </w:tcBorders>
            <w:noWrap w:val="0"/>
            <w:vAlign w:val="center"/>
          </w:tcPr>
          <w:p>
            <w:pPr>
              <w:spacing w:line="280" w:lineRule="exact"/>
              <w:jc w:val="center"/>
              <w:rPr>
                <w:bCs/>
                <w:color w:val="auto"/>
                <w:sz w:val="18"/>
                <w:szCs w:val="18"/>
                <w:highlight w:val="none"/>
              </w:rPr>
            </w:pPr>
            <w:r>
              <w:rPr>
                <w:bCs/>
                <w:color w:val="auto"/>
                <w:sz w:val="18"/>
                <w:szCs w:val="18"/>
                <w:highlight w:val="none"/>
              </w:rPr>
              <w:t>指 标 名 称</w:t>
            </w:r>
          </w:p>
        </w:tc>
        <w:tc>
          <w:tcPr>
            <w:tcW w:w="996" w:type="dxa"/>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bCs/>
                <w:color w:val="auto"/>
                <w:sz w:val="18"/>
                <w:szCs w:val="18"/>
                <w:highlight w:val="none"/>
              </w:rPr>
            </w:pPr>
            <w:r>
              <w:rPr>
                <w:bCs/>
                <w:color w:val="auto"/>
                <w:sz w:val="18"/>
                <w:szCs w:val="18"/>
                <w:highlight w:val="none"/>
              </w:rPr>
              <w:t>计量单位</w:t>
            </w:r>
          </w:p>
        </w:tc>
        <w:tc>
          <w:tcPr>
            <w:tcW w:w="995" w:type="dxa"/>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bCs/>
                <w:color w:val="auto"/>
                <w:szCs w:val="24"/>
                <w:highlight w:val="none"/>
              </w:rPr>
            </w:pPr>
            <w:r>
              <w:rPr>
                <w:bCs/>
                <w:color w:val="auto"/>
                <w:sz w:val="18"/>
                <w:szCs w:val="18"/>
                <w:highlight w:val="none"/>
              </w:rPr>
              <w:t>代码</w:t>
            </w:r>
          </w:p>
        </w:tc>
        <w:tc>
          <w:tcPr>
            <w:tcW w:w="1050" w:type="dxa"/>
            <w:tcBorders>
              <w:top w:val="single" w:color="auto" w:sz="8" w:space="0"/>
              <w:left w:val="single" w:color="auto" w:sz="4" w:space="0"/>
              <w:bottom w:val="single" w:color="auto" w:sz="4" w:space="0"/>
              <w:right w:val="nil"/>
            </w:tcBorders>
            <w:noWrap w:val="0"/>
            <w:vAlign w:val="center"/>
          </w:tcPr>
          <w:p>
            <w:pPr>
              <w:spacing w:line="280" w:lineRule="exact"/>
              <w:jc w:val="center"/>
              <w:rPr>
                <w:bCs/>
                <w:color w:val="auto"/>
                <w:sz w:val="18"/>
                <w:szCs w:val="18"/>
                <w:highlight w:val="none"/>
              </w:rPr>
            </w:pPr>
            <w:r>
              <w:rPr>
                <w:bCs/>
                <w:color w:val="auto"/>
                <w:sz w:val="18"/>
                <w:szCs w:val="18"/>
                <w:highlight w:val="none"/>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jc w:val="center"/>
              <w:rPr>
                <w:bCs/>
                <w:color w:val="auto"/>
                <w:kern w:val="0"/>
                <w:sz w:val="18"/>
                <w:szCs w:val="18"/>
                <w:highlight w:val="none"/>
              </w:rPr>
            </w:pPr>
            <w:r>
              <w:rPr>
                <w:bCs/>
                <w:color w:val="auto"/>
                <w:kern w:val="0"/>
                <w:sz w:val="18"/>
                <w:szCs w:val="18"/>
                <w:highlight w:val="none"/>
              </w:rPr>
              <w:t>甲</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kern w:val="0"/>
                <w:sz w:val="18"/>
                <w:szCs w:val="18"/>
                <w:highlight w:val="none"/>
              </w:rPr>
            </w:pPr>
            <w:r>
              <w:rPr>
                <w:bCs/>
                <w:color w:val="auto"/>
                <w:kern w:val="0"/>
                <w:sz w:val="18"/>
                <w:szCs w:val="18"/>
                <w:highlight w:val="none"/>
              </w:rPr>
              <w:t>乙</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kern w:val="0"/>
                <w:sz w:val="18"/>
                <w:szCs w:val="18"/>
                <w:highlight w:val="none"/>
              </w:rPr>
            </w:pPr>
            <w:r>
              <w:rPr>
                <w:bCs/>
                <w:color w:val="auto"/>
                <w:kern w:val="0"/>
                <w:sz w:val="18"/>
                <w:szCs w:val="18"/>
                <w:highlight w:val="none"/>
              </w:rPr>
              <w:t>丙</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jc w:val="center"/>
              <w:rPr>
                <w:bCs/>
                <w:color w:val="auto"/>
                <w:kern w:val="0"/>
                <w:sz w:val="18"/>
                <w:szCs w:val="18"/>
                <w:highlight w:val="none"/>
              </w:rPr>
            </w:pPr>
            <w:r>
              <w:rPr>
                <w:bCs/>
                <w:color w:val="auto"/>
                <w:kern w:val="0"/>
                <w:sz w:val="18"/>
                <w:szCs w:val="18"/>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lang w:val="en-US" w:eastAsia="zh-CN" w:bidi="ar-SA"/>
              </w:rPr>
            </w:pPr>
            <w:r>
              <w:rPr>
                <w:rFonts w:cs="Calibri"/>
                <w:bCs/>
                <w:color w:val="auto"/>
                <w:kern w:val="0"/>
                <w:sz w:val="18"/>
                <w:szCs w:val="18"/>
                <w:highlight w:val="none"/>
              </w:rPr>
              <w:t>期末拥有注册商标</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QJ79</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lang w:val="en-US" w:eastAsia="zh-CN" w:bidi="ar-SA"/>
              </w:rPr>
            </w:pPr>
            <w:r>
              <w:rPr>
                <w:rFonts w:cs="Calibri"/>
                <w:bCs/>
                <w:color w:val="auto"/>
                <w:kern w:val="0"/>
                <w:sz w:val="18"/>
                <w:szCs w:val="18"/>
                <w:highlight w:val="none"/>
              </w:rPr>
              <w:t>其中：当年注册商标</w:t>
            </w:r>
          </w:p>
        </w:tc>
        <w:tc>
          <w:tcPr>
            <w:tcW w:w="996" w:type="dxa"/>
            <w:tcBorders>
              <w:top w:val="single" w:color="auto" w:sz="4" w:space="0"/>
              <w:left w:val="single" w:color="auto" w:sz="4" w:space="0"/>
              <w:bottom w:val="single" w:color="auto" w:sz="4" w:space="0"/>
              <w:right w:val="single" w:color="auto" w:sz="4" w:space="0"/>
            </w:tcBorders>
            <w:noWrap w:val="0"/>
            <w:vAlign w:val="top"/>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QJ77</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lang w:val="en-US" w:eastAsia="zh-CN" w:bidi="ar-SA"/>
              </w:rPr>
            </w:pPr>
            <w:r>
              <w:rPr>
                <w:rFonts w:cs="Calibri"/>
                <w:bCs/>
                <w:color w:val="auto"/>
                <w:kern w:val="0"/>
                <w:sz w:val="18"/>
                <w:szCs w:val="18"/>
                <w:highlight w:val="none"/>
              </w:rPr>
              <w:t>其中：境外注册商标</w:t>
            </w:r>
          </w:p>
        </w:tc>
        <w:tc>
          <w:tcPr>
            <w:tcW w:w="996" w:type="dxa"/>
            <w:tcBorders>
              <w:top w:val="single" w:color="auto" w:sz="4" w:space="0"/>
              <w:left w:val="single" w:color="auto" w:sz="4" w:space="0"/>
              <w:bottom w:val="single" w:color="auto" w:sz="4" w:space="0"/>
              <w:right w:val="single" w:color="auto" w:sz="4" w:space="0"/>
            </w:tcBorders>
            <w:noWrap w:val="0"/>
            <w:vAlign w:val="top"/>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QJ79_1</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900" w:firstLineChars="500"/>
              <w:rPr>
                <w:rFonts w:cs="Calibri"/>
                <w:bCs/>
                <w:color w:val="auto"/>
                <w:kern w:val="0"/>
                <w:sz w:val="18"/>
                <w:szCs w:val="18"/>
                <w:highlight w:val="none"/>
                <w:lang w:val="en-US" w:eastAsia="zh-CN" w:bidi="ar-SA"/>
              </w:rPr>
            </w:pPr>
            <w:r>
              <w:rPr>
                <w:rFonts w:cs="Calibri"/>
                <w:bCs/>
                <w:color w:val="auto"/>
                <w:kern w:val="0"/>
                <w:sz w:val="18"/>
                <w:szCs w:val="18"/>
                <w:highlight w:val="none"/>
              </w:rPr>
              <w:t>其中：当年境外注册商标</w:t>
            </w:r>
          </w:p>
        </w:tc>
        <w:tc>
          <w:tcPr>
            <w:tcW w:w="996" w:type="dxa"/>
            <w:tcBorders>
              <w:top w:val="single" w:color="auto" w:sz="4" w:space="0"/>
              <w:left w:val="single" w:color="auto" w:sz="4" w:space="0"/>
              <w:bottom w:val="single" w:color="auto" w:sz="4" w:space="0"/>
              <w:right w:val="single" w:color="auto" w:sz="4" w:space="0"/>
            </w:tcBorders>
            <w:noWrap w:val="0"/>
            <w:vAlign w:val="top"/>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QJ79_2</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lang w:val="en-US" w:eastAsia="zh-CN" w:bidi="ar-SA"/>
              </w:rPr>
            </w:pPr>
            <w:r>
              <w:rPr>
                <w:rFonts w:cs="Calibri"/>
                <w:bCs/>
                <w:color w:val="auto"/>
                <w:kern w:val="0"/>
                <w:sz w:val="18"/>
                <w:szCs w:val="18"/>
                <w:highlight w:val="none"/>
              </w:rPr>
              <w:t>拥有软件著作权</w:t>
            </w:r>
          </w:p>
        </w:tc>
        <w:tc>
          <w:tcPr>
            <w:tcW w:w="996" w:type="dxa"/>
            <w:tcBorders>
              <w:top w:val="single" w:color="auto" w:sz="4" w:space="0"/>
              <w:left w:val="single" w:color="auto" w:sz="4" w:space="0"/>
              <w:bottom w:val="single" w:color="auto" w:sz="4" w:space="0"/>
              <w:right w:val="single" w:color="auto" w:sz="4" w:space="0"/>
            </w:tcBorders>
            <w:noWrap w:val="0"/>
            <w:vAlign w:val="top"/>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QJ85</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lang w:val="en-US" w:eastAsia="zh-CN" w:bidi="ar-SA"/>
              </w:rPr>
            </w:pPr>
            <w:r>
              <w:rPr>
                <w:rFonts w:cs="Calibri"/>
                <w:bCs/>
                <w:color w:val="auto"/>
                <w:kern w:val="0"/>
                <w:sz w:val="18"/>
                <w:szCs w:val="18"/>
                <w:highlight w:val="none"/>
              </w:rPr>
              <w:t>其中：当年获得软件著作权</w:t>
            </w:r>
          </w:p>
        </w:tc>
        <w:tc>
          <w:tcPr>
            <w:tcW w:w="996" w:type="dxa"/>
            <w:tcBorders>
              <w:top w:val="single" w:color="auto" w:sz="4" w:space="0"/>
              <w:left w:val="single" w:color="auto" w:sz="4" w:space="0"/>
              <w:bottom w:val="single" w:color="auto" w:sz="4" w:space="0"/>
              <w:right w:val="single" w:color="auto" w:sz="4" w:space="0"/>
            </w:tcBorders>
            <w:noWrap w:val="0"/>
            <w:vAlign w:val="top"/>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QJ85_1</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lang w:val="en-US" w:eastAsia="zh-CN" w:bidi="ar-SA"/>
              </w:rPr>
            </w:pPr>
            <w:r>
              <w:rPr>
                <w:rFonts w:cs="Calibri"/>
                <w:bCs/>
                <w:color w:val="auto"/>
                <w:kern w:val="0"/>
                <w:sz w:val="18"/>
                <w:szCs w:val="18"/>
                <w:highlight w:val="none"/>
              </w:rPr>
              <w:t>拥有集成电路布图</w:t>
            </w:r>
          </w:p>
        </w:tc>
        <w:tc>
          <w:tcPr>
            <w:tcW w:w="996" w:type="dxa"/>
            <w:tcBorders>
              <w:top w:val="single" w:color="auto" w:sz="4" w:space="0"/>
              <w:left w:val="single" w:color="auto" w:sz="4" w:space="0"/>
              <w:bottom w:val="single" w:color="auto" w:sz="4" w:space="0"/>
              <w:right w:val="single" w:color="auto" w:sz="4" w:space="0"/>
            </w:tcBorders>
            <w:noWrap w:val="0"/>
            <w:vAlign w:val="top"/>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QJ86</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lang w:val="en-US" w:eastAsia="zh-CN" w:bidi="ar-SA"/>
              </w:rPr>
            </w:pPr>
            <w:r>
              <w:rPr>
                <w:rFonts w:cs="Calibri"/>
                <w:bCs/>
                <w:color w:val="auto"/>
                <w:kern w:val="0"/>
                <w:sz w:val="18"/>
                <w:szCs w:val="18"/>
                <w:highlight w:val="none"/>
              </w:rPr>
              <w:t>其中：当年获得集成电路布图</w:t>
            </w:r>
          </w:p>
        </w:tc>
        <w:tc>
          <w:tcPr>
            <w:tcW w:w="996" w:type="dxa"/>
            <w:tcBorders>
              <w:top w:val="single" w:color="auto" w:sz="4" w:space="0"/>
              <w:left w:val="single" w:color="auto" w:sz="4" w:space="0"/>
              <w:bottom w:val="single" w:color="auto" w:sz="4" w:space="0"/>
              <w:right w:val="single" w:color="auto" w:sz="4" w:space="0"/>
            </w:tcBorders>
            <w:noWrap w:val="0"/>
            <w:vAlign w:val="top"/>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QJ86_1</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lang w:val="en-US" w:eastAsia="zh-CN" w:bidi="ar-SA"/>
              </w:rPr>
            </w:pPr>
            <w:r>
              <w:rPr>
                <w:rFonts w:cs="Calibri"/>
                <w:bCs/>
                <w:color w:val="auto"/>
                <w:kern w:val="0"/>
                <w:sz w:val="18"/>
                <w:szCs w:val="18"/>
                <w:highlight w:val="none"/>
              </w:rPr>
              <w:t>拥有植物新品种</w:t>
            </w:r>
          </w:p>
        </w:tc>
        <w:tc>
          <w:tcPr>
            <w:tcW w:w="996" w:type="dxa"/>
            <w:tcBorders>
              <w:top w:val="single" w:color="auto" w:sz="4" w:space="0"/>
              <w:left w:val="single" w:color="auto" w:sz="4" w:space="0"/>
              <w:bottom w:val="single" w:color="auto" w:sz="4" w:space="0"/>
              <w:right w:val="single" w:color="auto" w:sz="4" w:space="0"/>
            </w:tcBorders>
            <w:noWrap w:val="0"/>
            <w:vAlign w:val="top"/>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QJ87</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lang w:val="en-US" w:eastAsia="zh-CN" w:bidi="ar-SA"/>
              </w:rPr>
            </w:pPr>
            <w:r>
              <w:rPr>
                <w:rFonts w:cs="Calibri"/>
                <w:bCs/>
                <w:color w:val="auto"/>
                <w:kern w:val="0"/>
                <w:sz w:val="18"/>
                <w:szCs w:val="18"/>
                <w:highlight w:val="none"/>
              </w:rPr>
              <w:t>其中：当年获得植物新品种</w:t>
            </w:r>
          </w:p>
        </w:tc>
        <w:tc>
          <w:tcPr>
            <w:tcW w:w="996" w:type="dxa"/>
            <w:tcBorders>
              <w:top w:val="single" w:color="auto" w:sz="4" w:space="0"/>
              <w:left w:val="single" w:color="auto" w:sz="4" w:space="0"/>
              <w:bottom w:val="single" w:color="auto" w:sz="4" w:space="0"/>
              <w:right w:val="single" w:color="auto" w:sz="4" w:space="0"/>
            </w:tcBorders>
            <w:noWrap w:val="0"/>
            <w:vAlign w:val="top"/>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QJ87_1</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rFonts w:cs="Calibri"/>
                <w:bCs/>
                <w:color w:val="auto"/>
                <w:kern w:val="0"/>
                <w:sz w:val="18"/>
                <w:szCs w:val="18"/>
                <w:highlight w:val="none"/>
                <w:lang w:val="en-US" w:eastAsia="zh-CN" w:bidi="ar-SA"/>
              </w:rPr>
            </w:pPr>
            <w:r>
              <w:rPr>
                <w:rFonts w:cs="Calibri"/>
                <w:bCs/>
                <w:color w:val="auto"/>
                <w:kern w:val="0"/>
                <w:sz w:val="18"/>
                <w:szCs w:val="18"/>
                <w:highlight w:val="none"/>
              </w:rPr>
              <w:t>拥有国家一类新药品种</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QJ101</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rFonts w:ascii="Times New Roman" w:hAnsi="Times New Roman"/>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rFonts w:cs="Calibri"/>
                <w:bCs/>
                <w:color w:val="auto"/>
                <w:kern w:val="0"/>
                <w:sz w:val="18"/>
                <w:szCs w:val="18"/>
                <w:highlight w:val="none"/>
                <w:lang w:val="en-US" w:eastAsia="zh-CN" w:bidi="ar-SA"/>
              </w:rPr>
            </w:pPr>
            <w:r>
              <w:rPr>
                <w:rFonts w:cs="Calibri"/>
                <w:bCs/>
                <w:color w:val="auto"/>
                <w:kern w:val="0"/>
                <w:sz w:val="18"/>
                <w:szCs w:val="18"/>
                <w:highlight w:val="none"/>
              </w:rPr>
              <w:t>其中：当年获得国家一类新药证书</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rFonts w:cs="Calibri"/>
                <w:bCs/>
                <w:color w:val="auto"/>
                <w:kern w:val="0"/>
                <w:sz w:val="18"/>
                <w:szCs w:val="18"/>
                <w:highlight w:val="none"/>
                <w:lang w:val="en-US" w:eastAsia="zh-CN" w:bidi="ar-SA"/>
              </w:rPr>
            </w:pPr>
            <w:r>
              <w:rPr>
                <w:rFonts w:cs="Calibri"/>
                <w:bCs/>
                <w:color w:val="auto"/>
                <w:kern w:val="0"/>
                <w:sz w:val="18"/>
                <w:szCs w:val="18"/>
                <w:highlight w:val="none"/>
              </w:rPr>
              <w:t>QJ101_1</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lang w:val="en-US" w:eastAsia="zh-CN" w:bidi="ar-SA"/>
              </w:rPr>
            </w:pPr>
            <w:r>
              <w:rPr>
                <w:bCs/>
                <w:color w:val="auto"/>
                <w:kern w:val="0"/>
                <w:sz w:val="18"/>
                <w:szCs w:val="18"/>
                <w:highlight w:val="none"/>
              </w:rPr>
              <w:t>拥有国家一级中药保护品种</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lang w:val="en-US" w:eastAsia="zh-CN" w:bidi="ar-SA"/>
              </w:rPr>
            </w:pPr>
            <w:r>
              <w:rPr>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lang w:val="en-US" w:eastAsia="zh-CN" w:bidi="ar-SA"/>
              </w:rPr>
            </w:pPr>
            <w:r>
              <w:rPr>
                <w:bCs/>
                <w:color w:val="auto"/>
                <w:kern w:val="0"/>
                <w:sz w:val="18"/>
                <w:szCs w:val="18"/>
                <w:highlight w:val="none"/>
              </w:rPr>
              <w:t>QJ100</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bCs/>
                <w:color w:val="auto"/>
                <w:kern w:val="0"/>
                <w:sz w:val="18"/>
                <w:szCs w:val="18"/>
                <w:highlight w:val="none"/>
              </w:rPr>
            </w:pPr>
            <w:r>
              <w:rPr>
                <w:bCs/>
                <w:color w:val="auto"/>
                <w:kern w:val="0"/>
                <w:sz w:val="18"/>
                <w:szCs w:val="18"/>
                <w:highlight w:val="none"/>
              </w:rPr>
              <w:t>其中：当年获得国家一级中药保护品种证书</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件</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QJ100_1</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累计形成国际标准</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QJ98</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bCs/>
                <w:color w:val="auto"/>
                <w:kern w:val="0"/>
                <w:sz w:val="18"/>
                <w:szCs w:val="18"/>
                <w:highlight w:val="none"/>
              </w:rPr>
            </w:pPr>
            <w:r>
              <w:rPr>
                <w:bCs/>
                <w:color w:val="auto"/>
                <w:kern w:val="0"/>
                <w:sz w:val="18"/>
                <w:szCs w:val="18"/>
                <w:highlight w:val="none"/>
              </w:rPr>
              <w:t>其中：当年形成国际标准</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QJ98_1</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累计形成国家或行业标准</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kern w:val="0"/>
                <w:sz w:val="18"/>
                <w:szCs w:val="18"/>
                <w:highlight w:val="none"/>
              </w:rPr>
            </w:pPr>
            <w:r>
              <w:rPr>
                <w:bCs/>
                <w:color w:val="auto"/>
                <w:kern w:val="0"/>
                <w:sz w:val="18"/>
                <w:szCs w:val="18"/>
                <w:highlight w:val="none"/>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kern w:val="0"/>
                <w:sz w:val="18"/>
                <w:szCs w:val="18"/>
                <w:highlight w:val="none"/>
              </w:rPr>
            </w:pPr>
            <w:r>
              <w:rPr>
                <w:bCs/>
                <w:color w:val="auto"/>
                <w:kern w:val="0"/>
                <w:sz w:val="18"/>
                <w:szCs w:val="18"/>
                <w:highlight w:val="none"/>
              </w:rPr>
              <w:t>QI27</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bCs/>
                <w:color w:val="auto"/>
                <w:kern w:val="0"/>
                <w:sz w:val="18"/>
                <w:szCs w:val="18"/>
                <w:highlight w:val="none"/>
              </w:rPr>
            </w:pPr>
            <w:r>
              <w:rPr>
                <w:bCs/>
                <w:color w:val="auto"/>
                <w:kern w:val="0"/>
                <w:sz w:val="18"/>
                <w:szCs w:val="18"/>
                <w:highlight w:val="none"/>
              </w:rPr>
              <w:t>其中：当年形成国家或行业标准</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kern w:val="0"/>
                <w:sz w:val="18"/>
                <w:szCs w:val="18"/>
                <w:highlight w:val="none"/>
              </w:rPr>
            </w:pPr>
            <w:r>
              <w:rPr>
                <w:bCs/>
                <w:color w:val="auto"/>
                <w:kern w:val="0"/>
                <w:sz w:val="18"/>
                <w:szCs w:val="18"/>
                <w:highlight w:val="none"/>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kern w:val="0"/>
                <w:sz w:val="18"/>
                <w:szCs w:val="18"/>
                <w:highlight w:val="none"/>
              </w:rPr>
            </w:pPr>
            <w:r>
              <w:rPr>
                <w:bCs/>
                <w:color w:val="auto"/>
                <w:kern w:val="0"/>
                <w:sz w:val="18"/>
                <w:szCs w:val="18"/>
                <w:highlight w:val="none"/>
              </w:rPr>
              <w:t>QI27_1</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0" w:firstLineChars="0"/>
              <w:rPr>
                <w:rFonts w:hint="default"/>
                <w:bCs/>
                <w:color w:val="auto"/>
                <w:kern w:val="0"/>
                <w:sz w:val="18"/>
                <w:szCs w:val="18"/>
                <w:highlight w:val="none"/>
                <w:lang w:val="en-US" w:eastAsia="zh-CN"/>
              </w:rPr>
            </w:pPr>
            <w:r>
              <w:rPr>
                <w:rFonts w:hint="eastAsia"/>
                <w:bCs/>
                <w:color w:val="auto"/>
                <w:kern w:val="0"/>
                <w:sz w:val="18"/>
                <w:szCs w:val="18"/>
                <w:highlight w:val="none"/>
                <w:lang w:val="en-US" w:eastAsia="zh-CN"/>
              </w:rPr>
              <w:t>近两年承担建设省级及以上研发或创新平台数量</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eastAsia="宋体"/>
                <w:bCs/>
                <w:color w:val="auto"/>
                <w:kern w:val="0"/>
                <w:sz w:val="18"/>
                <w:szCs w:val="18"/>
                <w:highlight w:val="none"/>
                <w:lang w:val="en-US" w:eastAsia="zh-CN"/>
              </w:rPr>
            </w:pPr>
            <w:r>
              <w:rPr>
                <w:rFonts w:hint="eastAsia"/>
                <w:bCs/>
                <w:color w:val="auto"/>
                <w:kern w:val="0"/>
                <w:sz w:val="18"/>
                <w:szCs w:val="18"/>
                <w:highlight w:val="none"/>
                <w:lang w:val="en-US" w:eastAsia="zh-CN"/>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QI29</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0" w:firstLineChars="0"/>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近两年获得省级及以上科技奖励数量</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eastAsia="宋体"/>
                <w:bCs/>
                <w:color w:val="auto"/>
                <w:kern w:val="0"/>
                <w:sz w:val="18"/>
                <w:szCs w:val="18"/>
                <w:highlight w:val="none"/>
                <w:lang w:val="en-US" w:eastAsia="zh-CN"/>
              </w:rPr>
            </w:pPr>
            <w:r>
              <w:rPr>
                <w:rFonts w:hint="eastAsia"/>
                <w:bCs/>
                <w:color w:val="auto"/>
                <w:kern w:val="0"/>
                <w:sz w:val="18"/>
                <w:szCs w:val="18"/>
                <w:highlight w:val="none"/>
                <w:lang w:val="en-US" w:eastAsia="zh-CN"/>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QI30</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0" w:firstLineChars="0"/>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近两年承担省级及以上科技计划项目数量</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QI31</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
                <w:color w:val="auto"/>
                <w:kern w:val="0"/>
                <w:sz w:val="18"/>
                <w:szCs w:val="18"/>
                <w:highlight w:val="none"/>
              </w:rPr>
            </w:pPr>
            <w:r>
              <w:rPr>
                <w:b/>
                <w:color w:val="auto"/>
                <w:kern w:val="0"/>
                <w:sz w:val="18"/>
                <w:szCs w:val="18"/>
                <w:highlight w:val="none"/>
              </w:rPr>
              <w:t>七、技术合同交易情况</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szCs w:val="24"/>
                <w:highlight w:val="none"/>
              </w:rPr>
            </w:pPr>
            <w:r>
              <w:rPr>
                <w:bCs/>
                <w:color w:val="auto"/>
                <w:kern w:val="0"/>
                <w:sz w:val="18"/>
                <w:szCs w:val="18"/>
                <w:highlight w:val="none"/>
              </w:rPr>
              <w:t>—</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szCs w:val="24"/>
                <w:highlight w:val="none"/>
              </w:rPr>
            </w:pPr>
            <w:r>
              <w:rPr>
                <w:bCs/>
                <w:color w:val="auto"/>
                <w:kern w:val="0"/>
                <w:sz w:val="18"/>
                <w:szCs w:val="18"/>
                <w:highlight w:val="none"/>
              </w:rPr>
              <w:t>—</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jc w:val="center"/>
              <w:rPr>
                <w:bCs/>
                <w:color w:val="auto"/>
                <w:szCs w:val="24"/>
                <w:highlight w:val="none"/>
              </w:rPr>
            </w:pPr>
            <w:r>
              <w:rPr>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认定登记的技术合同项数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QJ80_1</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bCs/>
                <w:color w:val="auto"/>
                <w:kern w:val="0"/>
                <w:sz w:val="18"/>
                <w:szCs w:val="18"/>
                <w:highlight w:val="none"/>
              </w:rPr>
            </w:pPr>
            <w:r>
              <w:rPr>
                <w:bCs/>
                <w:color w:val="auto"/>
                <w:kern w:val="0"/>
                <w:sz w:val="18"/>
                <w:szCs w:val="18"/>
                <w:highlight w:val="none"/>
              </w:rPr>
              <w:t>其中：从境外引进技术合同数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QJ80_2</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ind w:firstLine="360" w:firstLineChars="200"/>
              <w:rPr>
                <w:bCs/>
                <w:color w:val="auto"/>
                <w:kern w:val="0"/>
                <w:sz w:val="18"/>
                <w:szCs w:val="18"/>
                <w:highlight w:val="none"/>
              </w:rPr>
            </w:pPr>
            <w:r>
              <w:rPr>
                <w:bCs/>
                <w:color w:val="auto"/>
                <w:kern w:val="0"/>
                <w:sz w:val="18"/>
                <w:szCs w:val="18"/>
                <w:highlight w:val="none"/>
              </w:rPr>
              <w:t>其中：向境外输出技术合同数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项</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QJ80_3</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2"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认定登记的技术合同成交金额</w:t>
            </w:r>
          </w:p>
        </w:tc>
        <w:tc>
          <w:tcPr>
            <w:tcW w:w="996" w:type="dxa"/>
            <w:tcBorders>
              <w:top w:val="single" w:color="auto" w:sz="4" w:space="0"/>
              <w:left w:val="single" w:color="auto" w:sz="4" w:space="0"/>
              <w:bottom w:val="single" w:color="auto" w:sz="2"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千元</w:t>
            </w:r>
          </w:p>
        </w:tc>
        <w:tc>
          <w:tcPr>
            <w:tcW w:w="995" w:type="dxa"/>
            <w:tcBorders>
              <w:top w:val="single" w:color="auto" w:sz="4" w:space="0"/>
              <w:left w:val="single" w:color="auto" w:sz="4" w:space="0"/>
              <w:bottom w:val="single" w:color="auto" w:sz="2"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QJ80</w:t>
            </w:r>
          </w:p>
        </w:tc>
        <w:tc>
          <w:tcPr>
            <w:tcW w:w="1050" w:type="dxa"/>
            <w:tcBorders>
              <w:top w:val="single" w:color="auto" w:sz="4" w:space="0"/>
              <w:left w:val="single" w:color="auto" w:sz="4" w:space="0"/>
              <w:bottom w:val="single" w:color="auto" w:sz="2" w:space="0"/>
              <w:right w:val="nil"/>
            </w:tcBorders>
            <w:noWrap w:val="0"/>
            <w:vAlign w:val="center"/>
          </w:tcPr>
          <w:p>
            <w:pPr>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2" w:space="0"/>
              <w:right w:val="single" w:color="auto" w:sz="4" w:space="0"/>
            </w:tcBorders>
            <w:noWrap w:val="0"/>
            <w:vAlign w:val="center"/>
          </w:tcPr>
          <w:p>
            <w:pPr>
              <w:widowControl/>
              <w:spacing w:line="280" w:lineRule="exact"/>
              <w:ind w:firstLine="360" w:firstLineChars="200"/>
              <w:rPr>
                <w:bCs/>
                <w:color w:val="auto"/>
                <w:kern w:val="0"/>
                <w:sz w:val="18"/>
                <w:szCs w:val="18"/>
                <w:highlight w:val="none"/>
              </w:rPr>
            </w:pPr>
            <w:r>
              <w:rPr>
                <w:bCs/>
                <w:color w:val="auto"/>
                <w:kern w:val="0"/>
                <w:sz w:val="18"/>
                <w:szCs w:val="18"/>
                <w:highlight w:val="none"/>
              </w:rPr>
              <w:t>其中：从境外引进技术合同成交金额</w:t>
            </w:r>
          </w:p>
        </w:tc>
        <w:tc>
          <w:tcPr>
            <w:tcW w:w="996" w:type="dxa"/>
            <w:tcBorders>
              <w:top w:val="single" w:color="auto" w:sz="4" w:space="0"/>
              <w:left w:val="single" w:color="auto" w:sz="4" w:space="0"/>
              <w:bottom w:val="single" w:color="auto" w:sz="2"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千元</w:t>
            </w:r>
          </w:p>
        </w:tc>
        <w:tc>
          <w:tcPr>
            <w:tcW w:w="995" w:type="dxa"/>
            <w:tcBorders>
              <w:top w:val="single" w:color="auto" w:sz="4" w:space="0"/>
              <w:left w:val="single" w:color="auto" w:sz="4" w:space="0"/>
              <w:bottom w:val="single" w:color="auto" w:sz="2"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QJ80_4</w:t>
            </w:r>
          </w:p>
        </w:tc>
        <w:tc>
          <w:tcPr>
            <w:tcW w:w="1050" w:type="dxa"/>
            <w:tcBorders>
              <w:top w:val="single" w:color="auto" w:sz="4" w:space="0"/>
              <w:left w:val="single" w:color="auto" w:sz="4" w:space="0"/>
              <w:bottom w:val="single" w:color="auto" w:sz="2" w:space="0"/>
              <w:right w:val="nil"/>
            </w:tcBorders>
            <w:noWrap w:val="0"/>
            <w:vAlign w:val="center"/>
          </w:tcPr>
          <w:p>
            <w:pPr>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2" w:space="0"/>
              <w:right w:val="single" w:color="auto" w:sz="4" w:space="0"/>
            </w:tcBorders>
            <w:noWrap w:val="0"/>
            <w:vAlign w:val="center"/>
          </w:tcPr>
          <w:p>
            <w:pPr>
              <w:widowControl/>
              <w:spacing w:line="280" w:lineRule="exact"/>
              <w:ind w:firstLine="360" w:firstLineChars="200"/>
              <w:rPr>
                <w:bCs/>
                <w:color w:val="auto"/>
                <w:kern w:val="0"/>
                <w:sz w:val="18"/>
                <w:szCs w:val="18"/>
                <w:highlight w:val="none"/>
              </w:rPr>
            </w:pPr>
            <w:r>
              <w:rPr>
                <w:bCs/>
                <w:color w:val="auto"/>
                <w:kern w:val="0"/>
                <w:sz w:val="18"/>
                <w:szCs w:val="18"/>
                <w:highlight w:val="none"/>
              </w:rPr>
              <w:t>其中：向境外输出技术合同成交金额</w:t>
            </w:r>
          </w:p>
        </w:tc>
        <w:tc>
          <w:tcPr>
            <w:tcW w:w="996" w:type="dxa"/>
            <w:tcBorders>
              <w:top w:val="single" w:color="auto" w:sz="4" w:space="0"/>
              <w:left w:val="single" w:color="auto" w:sz="4" w:space="0"/>
              <w:bottom w:val="single" w:color="auto" w:sz="2"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千元</w:t>
            </w:r>
          </w:p>
        </w:tc>
        <w:tc>
          <w:tcPr>
            <w:tcW w:w="995" w:type="dxa"/>
            <w:tcBorders>
              <w:top w:val="single" w:color="auto" w:sz="4" w:space="0"/>
              <w:left w:val="single" w:color="auto" w:sz="4" w:space="0"/>
              <w:bottom w:val="single" w:color="auto" w:sz="2"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QJ80_5</w:t>
            </w:r>
          </w:p>
        </w:tc>
        <w:tc>
          <w:tcPr>
            <w:tcW w:w="1050" w:type="dxa"/>
            <w:tcBorders>
              <w:top w:val="single" w:color="auto" w:sz="4" w:space="0"/>
              <w:left w:val="single" w:color="auto" w:sz="4" w:space="0"/>
              <w:bottom w:val="single" w:color="auto" w:sz="2" w:space="0"/>
              <w:right w:val="nil"/>
            </w:tcBorders>
            <w:noWrap w:val="0"/>
            <w:vAlign w:val="center"/>
          </w:tcPr>
          <w:p>
            <w:pPr>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2" w:space="0"/>
              <w:bottom w:val="single" w:color="auto" w:sz="4" w:space="0"/>
              <w:right w:val="single" w:color="auto" w:sz="4" w:space="0"/>
            </w:tcBorders>
            <w:noWrap w:val="0"/>
            <w:vAlign w:val="center"/>
          </w:tcPr>
          <w:p>
            <w:pPr>
              <w:widowControl/>
              <w:spacing w:line="280" w:lineRule="exact"/>
              <w:rPr>
                <w:b/>
                <w:color w:val="auto"/>
                <w:kern w:val="0"/>
                <w:sz w:val="18"/>
                <w:szCs w:val="18"/>
                <w:highlight w:val="none"/>
              </w:rPr>
            </w:pPr>
            <w:r>
              <w:rPr>
                <w:b/>
                <w:color w:val="auto"/>
                <w:kern w:val="0"/>
                <w:sz w:val="18"/>
                <w:szCs w:val="18"/>
                <w:highlight w:val="none"/>
              </w:rPr>
              <w:t>八、其他相关情况</w:t>
            </w:r>
          </w:p>
        </w:tc>
        <w:tc>
          <w:tcPr>
            <w:tcW w:w="996" w:type="dxa"/>
            <w:tcBorders>
              <w:top w:val="single" w:color="auto" w:sz="2" w:space="0"/>
              <w:left w:val="single" w:color="auto" w:sz="4" w:space="0"/>
              <w:bottom w:val="single" w:color="auto" w:sz="4" w:space="0"/>
              <w:right w:val="single" w:color="auto" w:sz="4" w:space="0"/>
            </w:tcBorders>
            <w:noWrap w:val="0"/>
            <w:vAlign w:val="center"/>
          </w:tcPr>
          <w:p>
            <w:pPr>
              <w:spacing w:line="280" w:lineRule="exact"/>
              <w:jc w:val="center"/>
              <w:rPr>
                <w:bCs/>
                <w:color w:val="auto"/>
                <w:sz w:val="18"/>
                <w:szCs w:val="18"/>
                <w:highlight w:val="none"/>
              </w:rPr>
            </w:pPr>
            <w:r>
              <w:rPr>
                <w:bCs/>
                <w:color w:val="auto"/>
                <w:kern w:val="0"/>
                <w:sz w:val="18"/>
                <w:szCs w:val="18"/>
                <w:highlight w:val="none"/>
              </w:rPr>
              <w:t>—</w:t>
            </w:r>
          </w:p>
        </w:tc>
        <w:tc>
          <w:tcPr>
            <w:tcW w:w="995" w:type="dxa"/>
            <w:tcBorders>
              <w:top w:val="single" w:color="auto" w:sz="2" w:space="0"/>
              <w:left w:val="single" w:color="auto" w:sz="4" w:space="0"/>
              <w:bottom w:val="single" w:color="auto" w:sz="4" w:space="0"/>
              <w:right w:val="single" w:color="auto" w:sz="4" w:space="0"/>
            </w:tcBorders>
            <w:noWrap w:val="0"/>
            <w:vAlign w:val="center"/>
          </w:tcPr>
          <w:p>
            <w:pPr>
              <w:spacing w:line="280" w:lineRule="exact"/>
              <w:jc w:val="center"/>
              <w:rPr>
                <w:bCs/>
                <w:color w:val="auto"/>
                <w:sz w:val="18"/>
                <w:szCs w:val="18"/>
                <w:highlight w:val="none"/>
              </w:rPr>
            </w:pPr>
            <w:r>
              <w:rPr>
                <w:bCs/>
                <w:color w:val="auto"/>
                <w:kern w:val="0"/>
                <w:sz w:val="18"/>
                <w:szCs w:val="18"/>
                <w:highlight w:val="none"/>
              </w:rPr>
              <w:t>—</w:t>
            </w:r>
          </w:p>
        </w:tc>
        <w:tc>
          <w:tcPr>
            <w:tcW w:w="1050" w:type="dxa"/>
            <w:tcBorders>
              <w:top w:val="single" w:color="auto" w:sz="2" w:space="0"/>
              <w:left w:val="single" w:color="auto" w:sz="4" w:space="0"/>
              <w:bottom w:val="single" w:color="auto" w:sz="4" w:space="0"/>
              <w:right w:val="nil"/>
            </w:tcBorders>
            <w:noWrap w:val="0"/>
            <w:vAlign w:val="center"/>
          </w:tcPr>
          <w:p>
            <w:pPr>
              <w:spacing w:line="280" w:lineRule="exact"/>
              <w:jc w:val="center"/>
              <w:rPr>
                <w:bCs/>
                <w:color w:val="auto"/>
                <w:sz w:val="18"/>
                <w:szCs w:val="18"/>
                <w:highlight w:val="none"/>
              </w:rPr>
            </w:pPr>
            <w:r>
              <w:rPr>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
                <w:bCs/>
                <w:color w:val="auto"/>
                <w:kern w:val="0"/>
                <w:sz w:val="18"/>
                <w:szCs w:val="18"/>
                <w:highlight w:val="none"/>
              </w:rPr>
            </w:pPr>
            <w:r>
              <w:rPr>
                <w:b/>
                <w:bCs/>
                <w:color w:val="auto"/>
                <w:kern w:val="0"/>
                <w:sz w:val="18"/>
                <w:szCs w:val="18"/>
                <w:highlight w:val="none"/>
              </w:rPr>
              <w:t>（一）技术改造和技术获取情况</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szCs w:val="24"/>
                <w:highlight w:val="none"/>
              </w:rPr>
            </w:pPr>
            <w:r>
              <w:rPr>
                <w:bCs/>
                <w:color w:val="auto"/>
                <w:kern w:val="0"/>
                <w:sz w:val="18"/>
                <w:szCs w:val="18"/>
                <w:highlight w:val="none"/>
              </w:rPr>
              <w:t>—</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szCs w:val="24"/>
                <w:highlight w:val="none"/>
              </w:rPr>
            </w:pPr>
            <w:r>
              <w:rPr>
                <w:bCs/>
                <w:color w:val="auto"/>
                <w:kern w:val="0"/>
                <w:sz w:val="18"/>
                <w:szCs w:val="18"/>
                <w:highlight w:val="none"/>
              </w:rPr>
              <w:t>—</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jc w:val="center"/>
              <w:rPr>
                <w:bCs/>
                <w:color w:val="auto"/>
                <w:szCs w:val="24"/>
                <w:highlight w:val="none"/>
              </w:rPr>
            </w:pPr>
            <w:r>
              <w:rPr>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技术改造经费支出</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千元</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szCs w:val="24"/>
                <w:highlight w:val="none"/>
              </w:rPr>
            </w:pPr>
            <w:r>
              <w:rPr>
                <w:bCs/>
                <w:color w:val="auto"/>
                <w:kern w:val="0"/>
                <w:sz w:val="18"/>
                <w:szCs w:val="18"/>
                <w:highlight w:val="none"/>
              </w:rPr>
              <w:t>QJ58</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8" w:hRule="atLeast"/>
          <w:jc w:val="center"/>
        </w:trPr>
        <w:tc>
          <w:tcPr>
            <w:tcW w:w="6332" w:type="dxa"/>
            <w:tcBorders>
              <w:top w:val="single" w:color="auto" w:sz="4" w:space="0"/>
              <w:bottom w:val="single" w:color="auto" w:sz="8"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购买境内技术经费支出</w:t>
            </w:r>
          </w:p>
        </w:tc>
        <w:tc>
          <w:tcPr>
            <w:tcW w:w="996" w:type="dxa"/>
            <w:tcBorders>
              <w:top w:val="single" w:color="auto" w:sz="4" w:space="0"/>
              <w:left w:val="single" w:color="auto" w:sz="4" w:space="0"/>
              <w:bottom w:val="single" w:color="auto" w:sz="8" w:space="0"/>
              <w:right w:val="single" w:color="auto" w:sz="4" w:space="0"/>
            </w:tcBorders>
            <w:noWrap w:val="0"/>
            <w:vAlign w:val="center"/>
          </w:tcPr>
          <w:p>
            <w:pPr>
              <w:spacing w:line="280" w:lineRule="exact"/>
              <w:jc w:val="center"/>
              <w:rPr>
                <w:bCs/>
                <w:color w:val="auto"/>
                <w:kern w:val="0"/>
                <w:sz w:val="18"/>
                <w:szCs w:val="18"/>
                <w:highlight w:val="none"/>
              </w:rPr>
            </w:pPr>
            <w:r>
              <w:rPr>
                <w:bCs/>
                <w:color w:val="auto"/>
                <w:kern w:val="0"/>
                <w:sz w:val="18"/>
                <w:szCs w:val="18"/>
                <w:highlight w:val="none"/>
              </w:rPr>
              <w:t>千元</w:t>
            </w:r>
          </w:p>
        </w:tc>
        <w:tc>
          <w:tcPr>
            <w:tcW w:w="995" w:type="dxa"/>
            <w:tcBorders>
              <w:top w:val="single" w:color="auto" w:sz="4" w:space="0"/>
              <w:left w:val="single" w:color="auto" w:sz="4" w:space="0"/>
              <w:bottom w:val="single" w:color="auto" w:sz="8" w:space="0"/>
              <w:right w:val="single" w:color="auto" w:sz="4" w:space="0"/>
            </w:tcBorders>
            <w:noWrap w:val="0"/>
            <w:vAlign w:val="center"/>
          </w:tcPr>
          <w:p>
            <w:pPr>
              <w:spacing w:line="280" w:lineRule="exact"/>
              <w:jc w:val="center"/>
              <w:rPr>
                <w:bCs/>
                <w:color w:val="auto"/>
                <w:kern w:val="0"/>
                <w:sz w:val="18"/>
                <w:szCs w:val="18"/>
                <w:highlight w:val="none"/>
              </w:rPr>
            </w:pPr>
            <w:r>
              <w:rPr>
                <w:bCs/>
                <w:color w:val="auto"/>
                <w:kern w:val="0"/>
                <w:sz w:val="18"/>
                <w:szCs w:val="18"/>
                <w:highlight w:val="none"/>
              </w:rPr>
              <w:t>QJ62</w:t>
            </w:r>
          </w:p>
        </w:tc>
        <w:tc>
          <w:tcPr>
            <w:tcW w:w="1050" w:type="dxa"/>
            <w:tcBorders>
              <w:top w:val="single" w:color="auto" w:sz="4" w:space="0"/>
              <w:left w:val="single" w:color="auto" w:sz="4" w:space="0"/>
              <w:bottom w:val="single" w:color="auto" w:sz="8" w:space="0"/>
              <w:right w:val="nil"/>
            </w:tcBorders>
            <w:noWrap w:val="0"/>
            <w:vAlign w:val="center"/>
          </w:tcPr>
          <w:p>
            <w:pPr>
              <w:spacing w:line="280" w:lineRule="exact"/>
              <w:jc w:val="center"/>
              <w:rPr>
                <w:bCs/>
                <w:color w:val="auto"/>
                <w:kern w:val="0"/>
                <w:sz w:val="18"/>
                <w:szCs w:val="18"/>
                <w:highlight w:val="none"/>
              </w:rPr>
            </w:pPr>
          </w:p>
        </w:tc>
      </w:tr>
    </w:tbl>
    <w:p>
      <w:pPr>
        <w:rPr>
          <w:rFonts w:hint="eastAsia" w:eastAsia="宋体"/>
          <w:color w:val="auto"/>
          <w:sz w:val="18"/>
          <w:szCs w:val="20"/>
          <w:highlight w:val="none"/>
          <w:lang w:eastAsia="zh-CN"/>
        </w:rPr>
      </w:pPr>
      <w:r>
        <w:rPr>
          <w:rFonts w:hint="eastAsia"/>
          <w:color w:val="auto"/>
          <w:sz w:val="18"/>
          <w:szCs w:val="20"/>
          <w:highlight w:val="none"/>
          <w:lang w:eastAsia="zh-CN"/>
        </w:rPr>
        <w:t>续表三：</w:t>
      </w:r>
    </w:p>
    <w:tbl>
      <w:tblPr>
        <w:tblStyle w:val="9"/>
        <w:tblW w:w="937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32"/>
        <w:gridCol w:w="996"/>
        <w:gridCol w:w="995"/>
        <w:gridCol w:w="10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8" w:space="0"/>
              <w:bottom w:val="single" w:color="auto" w:sz="4" w:space="0"/>
              <w:right w:val="single" w:color="auto" w:sz="4" w:space="0"/>
            </w:tcBorders>
            <w:noWrap w:val="0"/>
            <w:vAlign w:val="center"/>
          </w:tcPr>
          <w:p>
            <w:pPr>
              <w:widowControl/>
              <w:spacing w:line="280" w:lineRule="exact"/>
              <w:jc w:val="center"/>
              <w:rPr>
                <w:bCs/>
                <w:color w:val="auto"/>
                <w:kern w:val="2"/>
                <w:sz w:val="18"/>
                <w:szCs w:val="18"/>
                <w:highlight w:val="none"/>
                <w:lang w:val="en-US" w:eastAsia="zh-CN" w:bidi="ar-SA"/>
              </w:rPr>
            </w:pPr>
            <w:r>
              <w:rPr>
                <w:bCs/>
                <w:color w:val="auto"/>
                <w:sz w:val="18"/>
                <w:szCs w:val="18"/>
                <w:highlight w:val="none"/>
              </w:rPr>
              <w:t>指 标 名 称</w:t>
            </w:r>
          </w:p>
        </w:tc>
        <w:tc>
          <w:tcPr>
            <w:tcW w:w="996" w:type="dxa"/>
            <w:tcBorders>
              <w:top w:val="single" w:color="auto" w:sz="8" w:space="0"/>
              <w:left w:val="single" w:color="auto" w:sz="4" w:space="0"/>
              <w:bottom w:val="single" w:color="auto" w:sz="4" w:space="0"/>
              <w:right w:val="single" w:color="auto" w:sz="4" w:space="0"/>
            </w:tcBorders>
            <w:noWrap w:val="0"/>
            <w:vAlign w:val="center"/>
          </w:tcPr>
          <w:p>
            <w:pPr>
              <w:spacing w:line="280" w:lineRule="exact"/>
              <w:ind w:left="0" w:leftChars="0" w:right="0" w:rightChars="0" w:firstLine="0" w:firstLineChars="0"/>
              <w:jc w:val="center"/>
              <w:rPr>
                <w:bCs/>
                <w:color w:val="auto"/>
                <w:kern w:val="2"/>
                <w:sz w:val="18"/>
                <w:szCs w:val="18"/>
                <w:highlight w:val="none"/>
                <w:lang w:val="en-US" w:eastAsia="zh-CN" w:bidi="ar-SA"/>
              </w:rPr>
            </w:pPr>
            <w:r>
              <w:rPr>
                <w:bCs/>
                <w:color w:val="auto"/>
                <w:sz w:val="18"/>
                <w:szCs w:val="18"/>
                <w:highlight w:val="none"/>
              </w:rPr>
              <w:t>计量单位</w:t>
            </w:r>
          </w:p>
        </w:tc>
        <w:tc>
          <w:tcPr>
            <w:tcW w:w="995" w:type="dxa"/>
            <w:tcBorders>
              <w:top w:val="single" w:color="auto" w:sz="8" w:space="0"/>
              <w:left w:val="single" w:color="auto" w:sz="4" w:space="0"/>
              <w:bottom w:val="single" w:color="auto" w:sz="4" w:space="0"/>
              <w:right w:val="single" w:color="auto" w:sz="4" w:space="0"/>
            </w:tcBorders>
            <w:noWrap w:val="0"/>
            <w:vAlign w:val="center"/>
          </w:tcPr>
          <w:p>
            <w:pPr>
              <w:spacing w:line="280" w:lineRule="exact"/>
              <w:ind w:left="0" w:leftChars="0" w:right="0" w:rightChars="0" w:firstLine="0" w:firstLineChars="0"/>
              <w:jc w:val="center"/>
              <w:rPr>
                <w:bCs/>
                <w:color w:val="auto"/>
                <w:kern w:val="2"/>
                <w:sz w:val="21"/>
                <w:szCs w:val="24"/>
                <w:highlight w:val="none"/>
                <w:lang w:val="en-US" w:eastAsia="zh-CN" w:bidi="ar-SA"/>
              </w:rPr>
            </w:pPr>
            <w:r>
              <w:rPr>
                <w:bCs/>
                <w:color w:val="auto"/>
                <w:sz w:val="18"/>
                <w:szCs w:val="18"/>
                <w:highlight w:val="none"/>
              </w:rPr>
              <w:t>代码</w:t>
            </w:r>
          </w:p>
        </w:tc>
        <w:tc>
          <w:tcPr>
            <w:tcW w:w="1050" w:type="dxa"/>
            <w:tcBorders>
              <w:top w:val="single" w:color="auto" w:sz="8" w:space="0"/>
              <w:left w:val="single" w:color="auto" w:sz="4" w:space="0"/>
              <w:bottom w:val="single" w:color="auto" w:sz="4" w:space="0"/>
              <w:right w:val="nil"/>
            </w:tcBorders>
            <w:noWrap w:val="0"/>
            <w:vAlign w:val="center"/>
          </w:tcPr>
          <w:p>
            <w:pPr>
              <w:spacing w:line="280" w:lineRule="exact"/>
              <w:ind w:left="0" w:leftChars="0" w:right="0" w:rightChars="0" w:firstLine="0" w:firstLineChars="0"/>
              <w:jc w:val="center"/>
              <w:rPr>
                <w:bCs/>
                <w:color w:val="auto"/>
                <w:kern w:val="2"/>
                <w:sz w:val="18"/>
                <w:szCs w:val="18"/>
                <w:highlight w:val="none"/>
                <w:lang w:val="en-US" w:eastAsia="zh-CN" w:bidi="ar-SA"/>
              </w:rPr>
            </w:pPr>
            <w:r>
              <w:rPr>
                <w:bCs/>
                <w:color w:val="auto"/>
                <w:sz w:val="18"/>
                <w:szCs w:val="18"/>
                <w:highlight w:val="none"/>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jc w:val="center"/>
              <w:rPr>
                <w:bCs/>
                <w:color w:val="auto"/>
                <w:kern w:val="0"/>
                <w:sz w:val="18"/>
                <w:szCs w:val="18"/>
                <w:highlight w:val="none"/>
                <w:lang w:val="en-US" w:eastAsia="zh-CN" w:bidi="ar-SA"/>
              </w:rPr>
            </w:pPr>
            <w:r>
              <w:rPr>
                <w:bCs/>
                <w:color w:val="auto"/>
                <w:kern w:val="0"/>
                <w:sz w:val="18"/>
                <w:szCs w:val="18"/>
                <w:highlight w:val="none"/>
              </w:rPr>
              <w:t>甲</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kern w:val="0"/>
                <w:sz w:val="18"/>
                <w:szCs w:val="18"/>
                <w:highlight w:val="none"/>
                <w:lang w:val="en-US" w:eastAsia="zh-CN" w:bidi="ar-SA"/>
              </w:rPr>
            </w:pPr>
            <w:r>
              <w:rPr>
                <w:bCs/>
                <w:color w:val="auto"/>
                <w:kern w:val="0"/>
                <w:sz w:val="18"/>
                <w:szCs w:val="18"/>
                <w:highlight w:val="none"/>
              </w:rPr>
              <w:t>乙</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Cs/>
                <w:color w:val="auto"/>
                <w:kern w:val="0"/>
                <w:sz w:val="18"/>
                <w:szCs w:val="18"/>
                <w:highlight w:val="none"/>
                <w:lang w:val="en-US" w:eastAsia="zh-CN" w:bidi="ar-SA"/>
              </w:rPr>
            </w:pPr>
            <w:r>
              <w:rPr>
                <w:bCs/>
                <w:color w:val="auto"/>
                <w:kern w:val="0"/>
                <w:sz w:val="18"/>
                <w:szCs w:val="18"/>
                <w:highlight w:val="none"/>
              </w:rPr>
              <w:t>丙</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jc w:val="center"/>
              <w:rPr>
                <w:bCs/>
                <w:color w:val="auto"/>
                <w:kern w:val="0"/>
                <w:sz w:val="18"/>
                <w:szCs w:val="18"/>
                <w:highlight w:val="none"/>
                <w:lang w:val="en-US" w:eastAsia="zh-CN" w:bidi="ar-SA"/>
              </w:rPr>
            </w:pPr>
            <w:r>
              <w:rPr>
                <w:bCs/>
                <w:color w:val="auto"/>
                <w:kern w:val="0"/>
                <w:sz w:val="18"/>
                <w:szCs w:val="18"/>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lang w:val="en-US" w:eastAsia="zh-CN" w:bidi="ar-SA"/>
              </w:rPr>
            </w:pPr>
            <w:r>
              <w:rPr>
                <w:bCs/>
                <w:color w:val="auto"/>
                <w:kern w:val="0"/>
                <w:sz w:val="18"/>
                <w:szCs w:val="18"/>
                <w:highlight w:val="none"/>
              </w:rPr>
              <w:t>引进境外技术经费支出</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lang w:val="en-US" w:eastAsia="zh-CN" w:bidi="ar-SA"/>
              </w:rPr>
            </w:pPr>
            <w:r>
              <w:rPr>
                <w:bCs/>
                <w:color w:val="auto"/>
                <w:kern w:val="0"/>
                <w:sz w:val="18"/>
                <w:szCs w:val="18"/>
                <w:highlight w:val="none"/>
              </w:rPr>
              <w:t>千元</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2"/>
                <w:sz w:val="21"/>
                <w:szCs w:val="24"/>
                <w:highlight w:val="none"/>
                <w:lang w:val="en-US" w:eastAsia="zh-CN" w:bidi="ar-SA"/>
              </w:rPr>
            </w:pPr>
            <w:r>
              <w:rPr>
                <w:bCs/>
                <w:color w:val="auto"/>
                <w:kern w:val="0"/>
                <w:sz w:val="18"/>
                <w:szCs w:val="18"/>
                <w:highlight w:val="none"/>
              </w:rPr>
              <w:t>QJ59</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ind w:left="-1" w:leftChars="-50" w:right="-105" w:rightChars="-50" w:hanging="104" w:hangingChars="58"/>
              <w:jc w:val="center"/>
              <w:rPr>
                <w:bCs/>
                <w:color w:val="auto"/>
                <w:kern w:val="0"/>
                <w:sz w:val="18"/>
                <w:szCs w:val="18"/>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引进境外技术的消化吸收经费支出</w:t>
            </w:r>
          </w:p>
        </w:tc>
        <w:tc>
          <w:tcPr>
            <w:tcW w:w="99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千元</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 w:leftChars="-50" w:right="-105" w:rightChars="-50" w:hanging="104" w:hangingChars="58"/>
              <w:jc w:val="center"/>
              <w:rPr>
                <w:bCs/>
                <w:color w:val="auto"/>
                <w:szCs w:val="24"/>
                <w:highlight w:val="none"/>
              </w:rPr>
            </w:pPr>
            <w:r>
              <w:rPr>
                <w:bCs/>
                <w:color w:val="auto"/>
                <w:kern w:val="0"/>
                <w:sz w:val="18"/>
                <w:szCs w:val="18"/>
                <w:highlight w:val="none"/>
              </w:rPr>
              <w:t>QJ61</w:t>
            </w:r>
          </w:p>
        </w:tc>
        <w:tc>
          <w:tcPr>
            <w:tcW w:w="1050" w:type="dxa"/>
            <w:tcBorders>
              <w:top w:val="single" w:color="auto" w:sz="4" w:space="0"/>
              <w:left w:val="single" w:color="auto" w:sz="4" w:space="0"/>
              <w:bottom w:val="single" w:color="auto" w:sz="4" w:space="0"/>
              <w:right w:val="nil"/>
            </w:tcBorders>
            <w:noWrap w:val="0"/>
            <w:vAlign w:val="center"/>
          </w:tcPr>
          <w:p>
            <w:pPr>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
                <w:bCs/>
                <w:color w:val="auto"/>
                <w:kern w:val="0"/>
                <w:sz w:val="18"/>
                <w:szCs w:val="18"/>
                <w:highlight w:val="none"/>
              </w:rPr>
            </w:pPr>
            <w:r>
              <w:rPr>
                <w:b/>
                <w:bCs/>
                <w:color w:val="auto"/>
                <w:kern w:val="0"/>
                <w:sz w:val="18"/>
                <w:szCs w:val="18"/>
                <w:highlight w:val="none"/>
              </w:rPr>
              <w:t>（二）企业在境外设立分支机构情况</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期末境外营销服务机构数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个</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QJ99</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期末境外技术研发机构数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个</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QJ90</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期末境外生产制造基地数</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个</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QJ92</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332" w:type="dxa"/>
            <w:tcBorders>
              <w:top w:val="single" w:color="auto" w:sz="4" w:space="0"/>
              <w:bottom w:val="single" w:color="auto" w:sz="4" w:space="0"/>
              <w:right w:val="single" w:color="auto" w:sz="4" w:space="0"/>
            </w:tcBorders>
            <w:noWrap w:val="0"/>
            <w:vAlign w:val="center"/>
          </w:tcPr>
          <w:p>
            <w:pPr>
              <w:widowControl/>
              <w:spacing w:line="280" w:lineRule="exact"/>
              <w:rPr>
                <w:bCs/>
                <w:color w:val="auto"/>
                <w:kern w:val="0"/>
                <w:sz w:val="18"/>
                <w:szCs w:val="18"/>
                <w:highlight w:val="none"/>
              </w:rPr>
            </w:pPr>
            <w:r>
              <w:rPr>
                <w:bCs/>
                <w:color w:val="auto"/>
                <w:kern w:val="0"/>
                <w:sz w:val="18"/>
                <w:szCs w:val="18"/>
                <w:highlight w:val="none"/>
              </w:rPr>
              <w:t>企业当年在境外设立分支机构数量</w:t>
            </w:r>
          </w:p>
        </w:tc>
        <w:tc>
          <w:tcPr>
            <w:tcW w:w="99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个</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r>
              <w:rPr>
                <w:bCs/>
                <w:color w:val="auto"/>
                <w:kern w:val="0"/>
                <w:sz w:val="18"/>
                <w:szCs w:val="18"/>
                <w:highlight w:val="none"/>
              </w:rPr>
              <w:t>QJ102</w:t>
            </w:r>
          </w:p>
        </w:tc>
        <w:tc>
          <w:tcPr>
            <w:tcW w:w="1050" w:type="dxa"/>
            <w:tcBorders>
              <w:top w:val="single" w:color="auto" w:sz="4" w:space="0"/>
              <w:left w:val="single" w:color="auto" w:sz="4" w:space="0"/>
              <w:bottom w:val="single" w:color="auto" w:sz="4" w:space="0"/>
              <w:right w:val="nil"/>
            </w:tcBorders>
            <w:noWrap w:val="0"/>
            <w:vAlign w:val="center"/>
          </w:tcPr>
          <w:p>
            <w:pPr>
              <w:widowControl/>
              <w:spacing w:line="280" w:lineRule="exact"/>
              <w:ind w:left="-1" w:leftChars="-50" w:right="-105" w:rightChars="-50" w:hanging="104" w:hangingChars="58"/>
              <w:jc w:val="center"/>
              <w:rPr>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373" w:type="dxa"/>
            <w:gridSpan w:val="4"/>
            <w:tcBorders>
              <w:top w:val="single" w:color="auto" w:sz="4" w:space="0"/>
              <w:bottom w:val="single" w:color="auto" w:sz="8" w:space="0"/>
              <w:right w:val="nil"/>
            </w:tcBorders>
            <w:noWrap w:val="0"/>
            <w:vAlign w:val="center"/>
          </w:tcPr>
          <w:p>
            <w:pPr>
              <w:spacing w:line="280" w:lineRule="exact"/>
              <w:rPr>
                <w:bCs/>
                <w:color w:val="auto"/>
                <w:sz w:val="18"/>
                <w:szCs w:val="24"/>
                <w:highlight w:val="none"/>
              </w:rPr>
            </w:pPr>
            <w:r>
              <w:rPr>
                <w:rFonts w:hint="eastAsia"/>
                <w:bCs/>
                <w:color w:val="auto"/>
                <w:sz w:val="18"/>
                <w:szCs w:val="24"/>
                <w:highlight w:val="none"/>
              </w:rPr>
              <w:t>补充资料：以下项目可多选，选定某项请在其后方框内填写</w:t>
            </w:r>
            <w:r>
              <w:rPr>
                <w:bCs/>
                <w:color w:val="auto"/>
                <w:sz w:val="18"/>
                <w:szCs w:val="24"/>
                <w:highlight w:val="none"/>
              </w:rPr>
              <w:t>1</w:t>
            </w:r>
            <w:r>
              <w:rPr>
                <w:rFonts w:hint="eastAsia"/>
                <w:bCs/>
                <w:color w:val="auto"/>
                <w:sz w:val="18"/>
                <w:szCs w:val="24"/>
                <w:highlight w:val="none"/>
              </w:rPr>
              <w:t>，不选可不填。</w:t>
            </w:r>
          </w:p>
          <w:p>
            <w:pPr>
              <w:spacing w:line="280" w:lineRule="exact"/>
              <w:rPr>
                <w:rFonts w:ascii="宋体" w:hAnsi="宋体"/>
                <w:bCs/>
                <w:color w:val="auto"/>
                <w:sz w:val="18"/>
                <w:szCs w:val="24"/>
                <w:highlight w:val="none"/>
              </w:rPr>
            </w:pPr>
            <w:r>
              <w:rPr>
                <w:rFonts w:ascii="宋体" w:hAnsi="宋体"/>
                <w:bCs/>
                <w:color w:val="auto"/>
                <w:sz w:val="18"/>
                <w:szCs w:val="24"/>
                <w:highlight w:val="none"/>
              </w:rPr>
              <w:t>1.企业在海外设立的技术研发机构所在的国家（QI19）：①美国□，②欧盟□，③日本□，④其他：□</w:t>
            </w:r>
            <w:r>
              <w:rPr>
                <w:rFonts w:hint="eastAsia" w:ascii="宋体" w:hAnsi="宋体"/>
                <w:bCs/>
                <w:color w:val="auto"/>
                <w:sz w:val="18"/>
                <w:szCs w:val="24"/>
                <w:highlight w:val="none"/>
              </w:rPr>
              <w:t>。</w:t>
            </w:r>
          </w:p>
          <w:p>
            <w:pPr>
              <w:spacing w:line="280" w:lineRule="exact"/>
              <w:rPr>
                <w:rFonts w:ascii="Times New Roman" w:hAnsi="Times New Roman"/>
                <w:bCs/>
                <w:color w:val="auto"/>
                <w:kern w:val="0"/>
                <w:sz w:val="18"/>
                <w:szCs w:val="18"/>
                <w:highlight w:val="none"/>
              </w:rPr>
            </w:pPr>
            <w:r>
              <w:rPr>
                <w:rFonts w:ascii="宋体" w:hAnsi="宋体"/>
                <w:bCs/>
                <w:color w:val="auto"/>
                <w:sz w:val="18"/>
                <w:szCs w:val="24"/>
                <w:highlight w:val="none"/>
              </w:rPr>
              <w:t>2.知识产权获取方式（QJ88</w:t>
            </w:r>
            <w:r>
              <w:rPr>
                <w:rFonts w:hint="eastAsia" w:ascii="宋体" w:hAnsi="宋体"/>
                <w:bCs/>
                <w:color w:val="auto"/>
                <w:sz w:val="18"/>
                <w:szCs w:val="24"/>
                <w:highlight w:val="none"/>
              </w:rPr>
              <w:t>）：①自主研发□，②受让□，③</w:t>
            </w:r>
            <w:r>
              <w:rPr>
                <w:rFonts w:ascii="宋体" w:hAnsi="宋体"/>
                <w:bCs/>
                <w:color w:val="auto"/>
                <w:sz w:val="18"/>
                <w:szCs w:val="24"/>
                <w:highlight w:val="none"/>
              </w:rPr>
              <w:t>受赠</w:t>
            </w:r>
            <w:r>
              <w:rPr>
                <w:rFonts w:hint="eastAsia" w:ascii="宋体" w:hAnsi="宋体"/>
                <w:bCs/>
                <w:color w:val="auto"/>
                <w:sz w:val="18"/>
                <w:szCs w:val="24"/>
                <w:highlight w:val="none"/>
              </w:rPr>
              <w:t>□，④并购□，⑤</w:t>
            </w:r>
            <w:r>
              <w:rPr>
                <w:rFonts w:ascii="宋体" w:hAnsi="宋体"/>
                <w:bCs/>
                <w:color w:val="auto"/>
                <w:sz w:val="18"/>
                <w:szCs w:val="24"/>
                <w:highlight w:val="none"/>
              </w:rPr>
              <w:t>5年以上独占许可</w:t>
            </w:r>
            <w:r>
              <w:rPr>
                <w:rFonts w:hint="eastAsia" w:ascii="宋体" w:hAnsi="宋体"/>
                <w:bCs/>
                <w:color w:val="auto"/>
                <w:sz w:val="18"/>
                <w:szCs w:val="24"/>
                <w:highlight w:val="none"/>
              </w:rPr>
              <w:t>□。</w:t>
            </w:r>
          </w:p>
        </w:tc>
      </w:tr>
    </w:tbl>
    <w:p>
      <w:pPr>
        <w:spacing w:line="280" w:lineRule="exact"/>
        <w:rPr>
          <w:rFonts w:ascii="Times New Roman" w:hAnsi="Times New Roman"/>
          <w:bCs/>
          <w:color w:val="auto"/>
          <w:sz w:val="18"/>
          <w:szCs w:val="24"/>
          <w:highlight w:val="none"/>
        </w:rPr>
      </w:pPr>
      <w:r>
        <w:rPr>
          <w:rFonts w:hint="eastAsia"/>
          <w:bCs/>
          <w:color w:val="auto"/>
          <w:sz w:val="18"/>
          <w:highlight w:val="none"/>
        </w:rPr>
        <w:t>单位负责人: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统计负责人: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填表人:</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 xml:space="preserve"> 联系电话:</w:t>
      </w:r>
      <w:r>
        <w:rPr>
          <w:rFonts w:hint="eastAsia"/>
          <w:bCs/>
          <w:color w:val="auto"/>
          <w:sz w:val="18"/>
          <w:highlight w:val="none"/>
          <w:u w:val="single"/>
        </w:rPr>
        <w:t xml:space="preserve">     </w:t>
      </w:r>
      <w:r>
        <w:rPr>
          <w:rFonts w:hint="eastAsia"/>
          <w:bCs/>
          <w:color w:val="auto"/>
          <w:sz w:val="18"/>
          <w:highlight w:val="none"/>
          <w:u w:val="single"/>
          <w:lang w:val="en-US" w:eastAsia="zh-CN"/>
        </w:rPr>
        <w:t xml:space="preserve">   </w:t>
      </w:r>
      <w:r>
        <w:rPr>
          <w:rFonts w:hint="eastAsia"/>
          <w:bCs/>
          <w:color w:val="auto"/>
          <w:sz w:val="18"/>
          <w:highlight w:val="none"/>
          <w:u w:val="single"/>
        </w:rPr>
        <w:t xml:space="preserve">   </w:t>
      </w:r>
      <w:r>
        <w:rPr>
          <w:rFonts w:hint="eastAsia"/>
          <w:bCs/>
          <w:color w:val="auto"/>
          <w:sz w:val="18"/>
          <w:highlight w:val="none"/>
        </w:rPr>
        <w:t>报出日期:20</w:t>
      </w:r>
      <w:r>
        <w:rPr>
          <w:rFonts w:hint="eastAsia"/>
          <w:bCs/>
          <w:color w:val="auto"/>
          <w:sz w:val="18"/>
          <w:highlight w:val="none"/>
          <w:u w:val="single"/>
        </w:rPr>
        <w:t xml:space="preserve">  </w:t>
      </w:r>
      <w:r>
        <w:rPr>
          <w:rFonts w:hint="eastAsia"/>
          <w:bCs/>
          <w:color w:val="auto"/>
          <w:sz w:val="18"/>
          <w:highlight w:val="none"/>
        </w:rPr>
        <w:t>年</w:t>
      </w:r>
      <w:r>
        <w:rPr>
          <w:rFonts w:hint="eastAsia"/>
          <w:bCs/>
          <w:color w:val="auto"/>
          <w:sz w:val="18"/>
          <w:highlight w:val="none"/>
          <w:u w:val="single"/>
        </w:rPr>
        <w:t xml:space="preserve">  </w:t>
      </w:r>
      <w:r>
        <w:rPr>
          <w:rFonts w:hint="eastAsia"/>
          <w:bCs/>
          <w:color w:val="auto"/>
          <w:sz w:val="18"/>
          <w:highlight w:val="none"/>
        </w:rPr>
        <w:t>月</w:t>
      </w:r>
      <w:r>
        <w:rPr>
          <w:rFonts w:hint="eastAsia"/>
          <w:bCs/>
          <w:color w:val="auto"/>
          <w:sz w:val="18"/>
          <w:highlight w:val="none"/>
          <w:u w:val="single"/>
        </w:rPr>
        <w:t xml:space="preserve">  </w:t>
      </w:r>
      <w:r>
        <w:rPr>
          <w:rFonts w:hint="eastAsia"/>
          <w:bCs/>
          <w:color w:val="auto"/>
          <w:sz w:val="18"/>
          <w:highlight w:val="none"/>
        </w:rPr>
        <w:t>日</w:t>
      </w:r>
    </w:p>
    <w:p>
      <w:pPr>
        <w:spacing w:line="280" w:lineRule="exact"/>
        <w:rPr>
          <w:rFonts w:ascii="Times New Roman" w:hAnsi="Times New Roman"/>
          <w:bCs/>
          <w:color w:val="auto"/>
          <w:sz w:val="18"/>
          <w:szCs w:val="24"/>
          <w:highlight w:val="none"/>
        </w:rPr>
      </w:pPr>
    </w:p>
    <w:p>
      <w:pPr>
        <w:spacing w:line="360" w:lineRule="exact"/>
        <w:rPr>
          <w:rFonts w:cs="Calibri"/>
          <w:bCs/>
          <w:color w:val="auto"/>
          <w:kern w:val="0"/>
          <w:sz w:val="18"/>
          <w:szCs w:val="18"/>
          <w:highlight w:val="none"/>
        </w:rPr>
      </w:pPr>
      <w:r>
        <w:rPr>
          <w:rFonts w:ascii="Times New Roman" w:hAnsi="Times New Roman"/>
          <w:bCs/>
          <w:color w:val="auto"/>
          <w:sz w:val="18"/>
          <w:szCs w:val="24"/>
          <w:highlight w:val="none"/>
        </w:rPr>
        <w:t>说明：</w:t>
      </w:r>
      <w:r>
        <w:rPr>
          <w:rFonts w:ascii="Times New Roman" w:hAnsi="Times New Roman"/>
          <w:bCs/>
          <w:color w:val="auto"/>
          <w:kern w:val="0"/>
          <w:sz w:val="18"/>
          <w:szCs w:val="18"/>
          <w:highlight w:val="none"/>
        </w:rPr>
        <w:t>表内审核</w:t>
      </w:r>
      <w:r>
        <w:rPr>
          <w:bCs/>
          <w:color w:val="auto"/>
          <w:kern w:val="0"/>
          <w:sz w:val="18"/>
          <w:szCs w:val="18"/>
          <w:highlight w:val="none"/>
        </w:rPr>
        <w:t>：</w:t>
      </w:r>
      <w:r>
        <w:rPr>
          <w:rFonts w:hint="eastAsia" w:ascii="Times New Roman" w:hAnsi="Times New Roman" w:eastAsia="宋体" w:cs="Times New Roman"/>
          <w:bCs/>
          <w:color w:val="auto"/>
          <w:kern w:val="2"/>
          <w:sz w:val="18"/>
          <w:szCs w:val="18"/>
          <w:highlight w:val="none"/>
        </w:rPr>
        <w:t>（1）QJ09≥QJ67（2）QJ09≥QJ09_1（3）QJ09≥QJ09_3（4）QJ09≥QI07_0≥QI07_1+QI07_2</w:t>
      </w:r>
    </w:p>
    <w:p>
      <w:pPr>
        <w:spacing w:line="360" w:lineRule="exact"/>
        <w:ind w:firstLine="540" w:firstLineChars="300"/>
        <w:rPr>
          <w:rFonts w:hint="eastAsia" w:ascii="Times New Roman" w:hAnsi="Times New Roman" w:eastAsia="宋体" w:cs="Times New Roman"/>
          <w:bCs/>
          <w:color w:val="auto"/>
          <w:kern w:val="2"/>
          <w:sz w:val="18"/>
          <w:szCs w:val="18"/>
          <w:highlight w:val="none"/>
        </w:rPr>
      </w:pPr>
      <w:r>
        <w:rPr>
          <w:rFonts w:hint="eastAsia" w:ascii="Times New Roman" w:hAnsi="Times New Roman" w:eastAsia="宋体" w:cs="Times New Roman"/>
          <w:bCs/>
          <w:color w:val="auto"/>
          <w:kern w:val="2"/>
          <w:sz w:val="18"/>
          <w:szCs w:val="18"/>
          <w:highlight w:val="none"/>
        </w:rPr>
        <w:t>（5）</w:t>
      </w:r>
      <w:r>
        <w:rPr>
          <w:rFonts w:cs="Calibri"/>
          <w:bCs/>
          <w:color w:val="auto"/>
          <w:kern w:val="0"/>
          <w:sz w:val="18"/>
          <w:szCs w:val="18"/>
          <w:highlight w:val="none"/>
        </w:rPr>
        <w:t>若</w:t>
      </w:r>
      <w:r>
        <w:rPr>
          <w:rFonts w:hint="eastAsia" w:ascii="Times New Roman" w:hAnsi="Times New Roman" w:eastAsia="宋体" w:cs="Times New Roman"/>
          <w:bCs/>
          <w:color w:val="auto"/>
          <w:kern w:val="2"/>
          <w:sz w:val="18"/>
          <w:szCs w:val="18"/>
          <w:highlight w:val="none"/>
        </w:rPr>
        <w:t>QJ09&gt;0，</w:t>
      </w:r>
      <w:r>
        <w:rPr>
          <w:rFonts w:cs="Calibri"/>
          <w:bCs/>
          <w:color w:val="auto"/>
          <w:kern w:val="0"/>
          <w:sz w:val="18"/>
          <w:szCs w:val="18"/>
          <w:highlight w:val="none"/>
        </w:rPr>
        <w:t>则</w:t>
      </w:r>
      <w:r>
        <w:rPr>
          <w:rFonts w:hint="eastAsia" w:ascii="Times New Roman" w:hAnsi="Times New Roman" w:eastAsia="宋体" w:cs="Times New Roman"/>
          <w:bCs/>
          <w:color w:val="auto"/>
          <w:kern w:val="2"/>
          <w:sz w:val="18"/>
          <w:szCs w:val="18"/>
          <w:highlight w:val="none"/>
        </w:rPr>
        <w:t>QJ23_1&gt;0（6）</w:t>
      </w:r>
      <w:r>
        <w:rPr>
          <w:rFonts w:cs="Calibri"/>
          <w:bCs/>
          <w:color w:val="auto"/>
          <w:kern w:val="0"/>
          <w:sz w:val="18"/>
          <w:szCs w:val="18"/>
          <w:highlight w:val="none"/>
        </w:rPr>
        <w:t>若</w:t>
      </w:r>
      <w:r>
        <w:rPr>
          <w:rFonts w:hint="eastAsia" w:ascii="Times New Roman" w:hAnsi="Times New Roman" w:eastAsia="宋体" w:cs="Times New Roman"/>
          <w:bCs/>
          <w:color w:val="auto"/>
          <w:kern w:val="2"/>
          <w:sz w:val="18"/>
          <w:szCs w:val="18"/>
          <w:highlight w:val="none"/>
        </w:rPr>
        <w:t>QJ23_1&gt;0</w:t>
      </w:r>
      <w:r>
        <w:rPr>
          <w:rFonts w:cs="Calibri"/>
          <w:bCs/>
          <w:color w:val="auto"/>
          <w:kern w:val="0"/>
          <w:sz w:val="18"/>
          <w:szCs w:val="18"/>
          <w:highlight w:val="none"/>
        </w:rPr>
        <w:t>，则</w:t>
      </w:r>
      <w:r>
        <w:rPr>
          <w:rFonts w:hint="eastAsia" w:ascii="Times New Roman" w:hAnsi="Times New Roman" w:eastAsia="宋体" w:cs="Times New Roman"/>
          <w:bCs/>
          <w:color w:val="auto"/>
          <w:kern w:val="2"/>
          <w:sz w:val="18"/>
          <w:szCs w:val="18"/>
          <w:highlight w:val="none"/>
        </w:rPr>
        <w:t>QJ09&gt;0（7）QJ250≥QJ251</w:t>
      </w:r>
    </w:p>
    <w:p>
      <w:pPr>
        <w:spacing w:line="360" w:lineRule="exact"/>
        <w:ind w:firstLine="540" w:firstLineChars="300"/>
        <w:rPr>
          <w:rFonts w:cs="Calibri"/>
          <w:bCs/>
          <w:color w:val="auto"/>
          <w:kern w:val="0"/>
          <w:sz w:val="18"/>
          <w:szCs w:val="18"/>
          <w:highlight w:val="none"/>
        </w:rPr>
      </w:pPr>
      <w:r>
        <w:rPr>
          <w:rFonts w:hint="eastAsia" w:ascii="Times New Roman" w:hAnsi="Times New Roman" w:eastAsia="宋体" w:cs="Times New Roman"/>
          <w:bCs/>
          <w:color w:val="auto"/>
          <w:kern w:val="2"/>
          <w:sz w:val="18"/>
          <w:szCs w:val="18"/>
          <w:highlight w:val="none"/>
        </w:rPr>
        <w:t>（8）QJ20=QJ23_1+QJ23_2+QJ23_3+QJ23_4+QJ23_6+QJ23_7+QJ33+QJ23_5（9）QI14_1≤QJ20</w:t>
      </w:r>
    </w:p>
    <w:p>
      <w:pPr>
        <w:spacing w:line="360" w:lineRule="exact"/>
        <w:ind w:firstLine="540" w:firstLineChars="300"/>
        <w:rPr>
          <w:rFonts w:hint="eastAsia" w:ascii="Times New Roman" w:hAnsi="Times New Roman" w:eastAsia="宋体" w:cs="Times New Roman"/>
          <w:bCs/>
          <w:color w:val="auto"/>
          <w:kern w:val="2"/>
          <w:sz w:val="18"/>
          <w:szCs w:val="18"/>
          <w:highlight w:val="none"/>
        </w:rPr>
      </w:pPr>
      <w:r>
        <w:rPr>
          <w:rFonts w:hint="eastAsia" w:ascii="Times New Roman" w:hAnsi="Times New Roman" w:eastAsia="宋体" w:cs="Times New Roman"/>
          <w:bCs/>
          <w:color w:val="auto"/>
          <w:kern w:val="2"/>
          <w:sz w:val="18"/>
          <w:szCs w:val="18"/>
          <w:highlight w:val="none"/>
        </w:rPr>
        <w:t>（10）QJ33=QJ33_1+QJ33_2+QJ33_3+QJ33_4（11）</w:t>
      </w:r>
      <w:r>
        <w:rPr>
          <w:rFonts w:cs="Calibri"/>
          <w:bCs/>
          <w:color w:val="auto"/>
          <w:kern w:val="0"/>
          <w:sz w:val="18"/>
          <w:szCs w:val="18"/>
          <w:highlight w:val="none"/>
        </w:rPr>
        <w:t>若</w:t>
      </w:r>
      <w:r>
        <w:rPr>
          <w:rFonts w:hint="eastAsia" w:ascii="Times New Roman" w:hAnsi="Times New Roman" w:eastAsia="宋体" w:cs="Times New Roman"/>
          <w:bCs/>
          <w:color w:val="auto"/>
          <w:kern w:val="2"/>
          <w:sz w:val="18"/>
          <w:szCs w:val="18"/>
          <w:highlight w:val="none"/>
        </w:rPr>
        <w:t>QI01&gt;0，</w:t>
      </w:r>
      <w:r>
        <w:rPr>
          <w:rFonts w:cs="Calibri"/>
          <w:bCs/>
          <w:color w:val="auto"/>
          <w:kern w:val="0"/>
          <w:sz w:val="18"/>
          <w:szCs w:val="18"/>
          <w:highlight w:val="none"/>
        </w:rPr>
        <w:t>则</w:t>
      </w:r>
      <w:r>
        <w:rPr>
          <w:rFonts w:hint="eastAsia" w:ascii="Times New Roman" w:hAnsi="Times New Roman" w:eastAsia="宋体" w:cs="Times New Roman"/>
          <w:bCs/>
          <w:color w:val="auto"/>
          <w:kern w:val="2"/>
          <w:sz w:val="18"/>
          <w:szCs w:val="18"/>
          <w:highlight w:val="none"/>
        </w:rPr>
        <w:t>QI07_0&gt;0</w:t>
      </w:r>
      <w:r>
        <w:rPr>
          <w:rFonts w:cs="Calibri"/>
          <w:bCs/>
          <w:color w:val="auto"/>
          <w:kern w:val="0"/>
          <w:sz w:val="18"/>
          <w:szCs w:val="18"/>
          <w:highlight w:val="none"/>
        </w:rPr>
        <w:t>且</w:t>
      </w:r>
      <w:r>
        <w:rPr>
          <w:rFonts w:hint="eastAsia" w:ascii="Times New Roman" w:hAnsi="Times New Roman" w:eastAsia="宋体" w:cs="Times New Roman"/>
          <w:bCs/>
          <w:color w:val="auto"/>
          <w:kern w:val="2"/>
          <w:sz w:val="18"/>
          <w:szCs w:val="18"/>
          <w:highlight w:val="none"/>
        </w:rPr>
        <w:t>QI14_1&gt;0</w:t>
      </w:r>
    </w:p>
    <w:p>
      <w:pPr>
        <w:spacing w:line="360" w:lineRule="exact"/>
        <w:ind w:firstLine="540" w:firstLineChars="300"/>
        <w:rPr>
          <w:rFonts w:cs="Calibri"/>
          <w:bCs/>
          <w:color w:val="auto"/>
          <w:kern w:val="0"/>
          <w:sz w:val="18"/>
          <w:szCs w:val="18"/>
          <w:highlight w:val="none"/>
        </w:rPr>
      </w:pPr>
      <w:r>
        <w:rPr>
          <w:rFonts w:hint="eastAsia" w:ascii="Times New Roman" w:hAnsi="Times New Roman" w:eastAsia="宋体" w:cs="Times New Roman"/>
          <w:bCs/>
          <w:color w:val="auto"/>
          <w:kern w:val="2"/>
          <w:sz w:val="18"/>
          <w:szCs w:val="18"/>
          <w:highlight w:val="none"/>
        </w:rPr>
        <w:t>（12）</w:t>
      </w:r>
      <w:r>
        <w:rPr>
          <w:rFonts w:cs="Calibri"/>
          <w:bCs/>
          <w:color w:val="auto"/>
          <w:kern w:val="0"/>
          <w:sz w:val="18"/>
          <w:szCs w:val="18"/>
          <w:highlight w:val="none"/>
        </w:rPr>
        <w:t>若</w:t>
      </w:r>
      <w:r>
        <w:rPr>
          <w:rFonts w:hint="eastAsia" w:ascii="Times New Roman" w:hAnsi="Times New Roman" w:eastAsia="宋体" w:cs="Times New Roman"/>
          <w:bCs/>
          <w:color w:val="auto"/>
          <w:kern w:val="2"/>
          <w:sz w:val="18"/>
          <w:szCs w:val="18"/>
          <w:highlight w:val="none"/>
        </w:rPr>
        <w:t>QI07_0&gt;0</w:t>
      </w:r>
      <w:r>
        <w:rPr>
          <w:rFonts w:cs="Calibri"/>
          <w:bCs/>
          <w:color w:val="auto"/>
          <w:kern w:val="0"/>
          <w:sz w:val="18"/>
          <w:szCs w:val="18"/>
          <w:highlight w:val="none"/>
        </w:rPr>
        <w:t>，则</w:t>
      </w:r>
      <w:r>
        <w:rPr>
          <w:rFonts w:hint="eastAsia" w:ascii="Times New Roman" w:hAnsi="Times New Roman" w:eastAsia="宋体" w:cs="Times New Roman"/>
          <w:bCs/>
          <w:color w:val="auto"/>
          <w:kern w:val="2"/>
          <w:sz w:val="18"/>
          <w:szCs w:val="18"/>
          <w:highlight w:val="none"/>
        </w:rPr>
        <w:t>QI01&gt;0</w:t>
      </w:r>
      <w:r>
        <w:rPr>
          <w:rFonts w:cs="Calibri"/>
          <w:bCs/>
          <w:color w:val="auto"/>
          <w:kern w:val="0"/>
          <w:sz w:val="18"/>
          <w:szCs w:val="18"/>
          <w:highlight w:val="none"/>
        </w:rPr>
        <w:t>且</w:t>
      </w:r>
      <w:r>
        <w:rPr>
          <w:rFonts w:hint="eastAsia" w:ascii="Times New Roman" w:hAnsi="Times New Roman" w:eastAsia="宋体" w:cs="Times New Roman"/>
          <w:bCs/>
          <w:color w:val="auto"/>
          <w:kern w:val="2"/>
          <w:sz w:val="18"/>
          <w:szCs w:val="18"/>
          <w:highlight w:val="none"/>
        </w:rPr>
        <w:t>QI14_1&gt;0（13）</w:t>
      </w:r>
      <w:r>
        <w:rPr>
          <w:rFonts w:cs="Calibri"/>
          <w:bCs/>
          <w:color w:val="auto"/>
          <w:kern w:val="0"/>
          <w:sz w:val="18"/>
          <w:szCs w:val="18"/>
          <w:highlight w:val="none"/>
        </w:rPr>
        <w:t>若</w:t>
      </w:r>
      <w:r>
        <w:rPr>
          <w:rFonts w:hint="eastAsia" w:ascii="Times New Roman" w:hAnsi="Times New Roman" w:eastAsia="宋体" w:cs="Times New Roman"/>
          <w:bCs/>
          <w:color w:val="auto"/>
          <w:kern w:val="2"/>
          <w:sz w:val="18"/>
          <w:szCs w:val="18"/>
          <w:highlight w:val="none"/>
        </w:rPr>
        <w:t>QI14_1&gt;0</w:t>
      </w:r>
      <w:r>
        <w:rPr>
          <w:rFonts w:cs="Calibri"/>
          <w:bCs/>
          <w:color w:val="auto"/>
          <w:kern w:val="0"/>
          <w:sz w:val="18"/>
          <w:szCs w:val="18"/>
          <w:highlight w:val="none"/>
        </w:rPr>
        <w:t>，则</w:t>
      </w:r>
      <w:r>
        <w:rPr>
          <w:rFonts w:hint="eastAsia" w:ascii="Times New Roman" w:hAnsi="Times New Roman" w:eastAsia="宋体" w:cs="Times New Roman"/>
          <w:bCs/>
          <w:color w:val="auto"/>
          <w:kern w:val="2"/>
          <w:sz w:val="18"/>
          <w:szCs w:val="18"/>
          <w:highlight w:val="none"/>
        </w:rPr>
        <w:t>QI01&gt;0</w:t>
      </w:r>
      <w:r>
        <w:rPr>
          <w:rFonts w:cs="Calibri"/>
          <w:bCs/>
          <w:color w:val="auto"/>
          <w:kern w:val="0"/>
          <w:sz w:val="18"/>
          <w:szCs w:val="18"/>
          <w:highlight w:val="none"/>
        </w:rPr>
        <w:t>且</w:t>
      </w:r>
      <w:r>
        <w:rPr>
          <w:rFonts w:hint="eastAsia" w:ascii="Times New Roman" w:hAnsi="Times New Roman" w:eastAsia="宋体" w:cs="Times New Roman"/>
          <w:bCs/>
          <w:color w:val="auto"/>
          <w:kern w:val="2"/>
          <w:sz w:val="18"/>
          <w:szCs w:val="18"/>
          <w:highlight w:val="none"/>
        </w:rPr>
        <w:t>QI07_0&gt;0</w:t>
      </w:r>
    </w:p>
    <w:p>
      <w:pPr>
        <w:spacing w:line="360" w:lineRule="exact"/>
        <w:ind w:left="525" w:leftChars="250" w:firstLine="0" w:firstLineChars="0"/>
        <w:rPr>
          <w:rFonts w:hint="eastAsia" w:ascii="Times New Roman" w:hAnsi="Times New Roman" w:eastAsia="宋体" w:cs="Times New Roman"/>
          <w:bCs/>
          <w:color w:val="auto"/>
          <w:kern w:val="2"/>
          <w:sz w:val="18"/>
          <w:szCs w:val="18"/>
          <w:highlight w:val="none"/>
        </w:rPr>
      </w:pPr>
      <w:r>
        <w:rPr>
          <w:rFonts w:hint="eastAsia" w:ascii="Times New Roman" w:hAnsi="Times New Roman" w:eastAsia="宋体" w:cs="Times New Roman"/>
          <w:bCs/>
          <w:color w:val="auto"/>
          <w:kern w:val="2"/>
          <w:sz w:val="18"/>
          <w:szCs w:val="18"/>
          <w:highlight w:val="none"/>
        </w:rPr>
        <w:t>（14）QJ55≥QJ56（15）QJ55≥QJ55_1（16）QJ55≥QJ55_2（17）QJ56≥QJ56_1</w:t>
      </w:r>
    </w:p>
    <w:p>
      <w:pPr>
        <w:spacing w:line="360" w:lineRule="exact"/>
        <w:ind w:left="525" w:leftChars="250" w:firstLine="0" w:firstLineChars="0"/>
        <w:rPr>
          <w:rFonts w:hint="eastAsia" w:ascii="Times New Roman" w:hAnsi="Times New Roman" w:eastAsia="宋体" w:cs="Times New Roman"/>
          <w:bCs/>
          <w:color w:val="auto"/>
          <w:kern w:val="2"/>
          <w:sz w:val="18"/>
          <w:szCs w:val="18"/>
          <w:highlight w:val="none"/>
        </w:rPr>
      </w:pPr>
      <w:r>
        <w:rPr>
          <w:rFonts w:hint="eastAsia" w:ascii="Times New Roman" w:hAnsi="Times New Roman" w:eastAsia="宋体" w:cs="Times New Roman"/>
          <w:bCs/>
          <w:color w:val="auto"/>
          <w:kern w:val="2"/>
          <w:sz w:val="18"/>
          <w:szCs w:val="18"/>
          <w:highlight w:val="none"/>
        </w:rPr>
        <w:t>（18）QJ74≥QJ57（19）QJ74≥QJ75（20）QJ83≥QJ83_1（21）QJ83≥QJ73</w:t>
      </w:r>
    </w:p>
    <w:p>
      <w:pPr>
        <w:spacing w:line="360" w:lineRule="exact"/>
        <w:ind w:firstLine="540" w:firstLineChars="300"/>
        <w:rPr>
          <w:rFonts w:cs="Calibri"/>
          <w:bCs/>
          <w:color w:val="auto"/>
          <w:kern w:val="0"/>
          <w:sz w:val="18"/>
          <w:szCs w:val="18"/>
          <w:highlight w:val="none"/>
        </w:rPr>
      </w:pPr>
      <w:r>
        <w:rPr>
          <w:rFonts w:hint="eastAsia" w:ascii="Times New Roman" w:hAnsi="Times New Roman" w:eastAsia="宋体" w:cs="Times New Roman"/>
          <w:bCs/>
          <w:color w:val="auto"/>
          <w:kern w:val="2"/>
          <w:sz w:val="18"/>
          <w:szCs w:val="18"/>
          <w:highlight w:val="none"/>
        </w:rPr>
        <w:t>（22）QJ83_1≥QJ82（23）QJ73≥QJ73_1（24）QJ71≥QJ72（25）QJ72≤QC11</w:t>
      </w:r>
    </w:p>
    <w:p>
      <w:pPr>
        <w:spacing w:line="360" w:lineRule="exact"/>
        <w:ind w:firstLine="540" w:firstLineChars="300"/>
        <w:rPr>
          <w:rFonts w:cs="Calibri"/>
          <w:bCs/>
          <w:color w:val="auto"/>
          <w:kern w:val="0"/>
          <w:sz w:val="18"/>
          <w:szCs w:val="18"/>
          <w:highlight w:val="none"/>
        </w:rPr>
      </w:pPr>
      <w:r>
        <w:rPr>
          <w:rFonts w:hint="eastAsia" w:ascii="Times New Roman" w:hAnsi="Times New Roman" w:eastAsia="宋体" w:cs="Times New Roman"/>
          <w:bCs/>
          <w:color w:val="auto"/>
          <w:kern w:val="2"/>
          <w:sz w:val="18"/>
          <w:szCs w:val="18"/>
          <w:highlight w:val="none"/>
        </w:rPr>
        <w:t>（26）QJ79≥QJ77（27）QJ79≥QJ79_1（28）QJ85≥QJ85_1（29）QJ86≥QJ86_1</w:t>
      </w:r>
    </w:p>
    <w:p>
      <w:pPr>
        <w:spacing w:line="360" w:lineRule="exact"/>
        <w:ind w:firstLine="540" w:firstLineChars="300"/>
        <w:rPr>
          <w:rFonts w:cs="Calibri"/>
          <w:bCs/>
          <w:color w:val="auto"/>
          <w:kern w:val="0"/>
          <w:sz w:val="18"/>
          <w:szCs w:val="18"/>
          <w:highlight w:val="none"/>
        </w:rPr>
      </w:pPr>
      <w:r>
        <w:rPr>
          <w:rFonts w:hint="eastAsia" w:ascii="Times New Roman" w:hAnsi="Times New Roman" w:eastAsia="宋体" w:cs="Times New Roman"/>
          <w:bCs/>
          <w:color w:val="auto"/>
          <w:kern w:val="2"/>
          <w:sz w:val="18"/>
          <w:szCs w:val="18"/>
          <w:highlight w:val="none"/>
        </w:rPr>
        <w:t>（30）QJ87≥QJ87_1（31）QJ101≥QJ101_1（32）QJ100≥QJ100_1（33）QJ80_1≥QJ80_2</w:t>
      </w:r>
    </w:p>
    <w:p>
      <w:pPr>
        <w:spacing w:line="360" w:lineRule="exact"/>
        <w:ind w:left="525" w:leftChars="250" w:firstLine="0" w:firstLineChars="0"/>
        <w:rPr>
          <w:rFonts w:hint="eastAsia"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kern w:val="2"/>
          <w:sz w:val="18"/>
          <w:szCs w:val="18"/>
          <w:highlight w:val="none"/>
        </w:rPr>
        <w:t>（34）QJ80_1≥QJ80_3（35）QJ80≥QJ80_4（36）QJ80≥QJ80_5</w:t>
      </w:r>
    </w:p>
    <w:p>
      <w:pPr>
        <w:tabs>
          <w:tab w:val="left" w:pos="753"/>
        </w:tabs>
        <w:snapToGrid w:val="0"/>
        <w:spacing w:line="360" w:lineRule="exact"/>
        <w:ind w:firstLine="540" w:firstLineChars="300"/>
        <w:jc w:val="both"/>
        <w:rPr>
          <w:color w:val="auto"/>
          <w:highlight w:val="none"/>
        </w:rPr>
      </w:pPr>
      <w:r>
        <w:rPr>
          <w:rFonts w:cs="Calibri"/>
          <w:bCs/>
          <w:color w:val="auto"/>
          <w:kern w:val="0"/>
          <w:sz w:val="18"/>
          <w:szCs w:val="18"/>
          <w:highlight w:val="none"/>
        </w:rPr>
        <w:t>表间审核：</w:t>
      </w:r>
      <w:r>
        <w:rPr>
          <w:rFonts w:hint="eastAsia" w:ascii="Times New Roman" w:hAnsi="Times New Roman" w:eastAsia="宋体" w:cs="Times New Roman"/>
          <w:bCs/>
          <w:color w:val="auto"/>
          <w:kern w:val="2"/>
          <w:sz w:val="18"/>
          <w:szCs w:val="18"/>
          <w:highlight w:val="none"/>
        </w:rPr>
        <w:t>（1）GQ-005</w:t>
      </w:r>
      <w:r>
        <w:rPr>
          <w:rFonts w:cs="Calibri"/>
          <w:bCs/>
          <w:color w:val="auto"/>
          <w:kern w:val="0"/>
          <w:sz w:val="18"/>
          <w:szCs w:val="18"/>
          <w:highlight w:val="none"/>
        </w:rPr>
        <w:t>表</w:t>
      </w:r>
      <w:r>
        <w:rPr>
          <w:rFonts w:hint="eastAsia" w:ascii="Times New Roman" w:hAnsi="Times New Roman" w:eastAsia="宋体" w:cs="Times New Roman"/>
          <w:bCs/>
          <w:color w:val="auto"/>
          <w:kern w:val="2"/>
          <w:sz w:val="18"/>
          <w:szCs w:val="18"/>
          <w:highlight w:val="none"/>
        </w:rPr>
        <w:t>QJ09*12≥GQ-004</w:t>
      </w:r>
      <w:r>
        <w:rPr>
          <w:rFonts w:cs="Calibri"/>
          <w:bCs/>
          <w:color w:val="auto"/>
          <w:kern w:val="0"/>
          <w:sz w:val="18"/>
          <w:szCs w:val="18"/>
          <w:highlight w:val="none"/>
        </w:rPr>
        <w:t>表</w:t>
      </w:r>
      <w:r>
        <w:rPr>
          <w:rFonts w:hint="eastAsia" w:ascii="Times New Roman" w:hAnsi="Times New Roman" w:eastAsia="宋体" w:cs="Times New Roman"/>
          <w:bCs/>
          <w:color w:val="auto"/>
          <w:kern w:val="2"/>
          <w:sz w:val="18"/>
          <w:szCs w:val="18"/>
          <w:highlight w:val="none"/>
        </w:rPr>
        <w:t>∑QH40（2）GQ-005</w:t>
      </w:r>
      <w:r>
        <w:rPr>
          <w:rFonts w:cs="Calibri"/>
          <w:bCs/>
          <w:color w:val="auto"/>
          <w:kern w:val="0"/>
          <w:sz w:val="18"/>
          <w:szCs w:val="18"/>
          <w:highlight w:val="none"/>
        </w:rPr>
        <w:t>表</w:t>
      </w:r>
      <w:r>
        <w:rPr>
          <w:rFonts w:hint="eastAsia" w:ascii="Times New Roman" w:hAnsi="Times New Roman" w:eastAsia="宋体" w:cs="Times New Roman"/>
          <w:bCs/>
          <w:color w:val="auto"/>
          <w:kern w:val="2"/>
          <w:sz w:val="18"/>
          <w:szCs w:val="18"/>
          <w:highlight w:val="none"/>
        </w:rPr>
        <w:t>QJ20≥GQ-004</w:t>
      </w:r>
      <w:r>
        <w:rPr>
          <w:rFonts w:cs="Calibri"/>
          <w:bCs/>
          <w:color w:val="auto"/>
          <w:kern w:val="0"/>
          <w:sz w:val="18"/>
          <w:szCs w:val="18"/>
          <w:highlight w:val="none"/>
        </w:rPr>
        <w:t>表</w:t>
      </w:r>
      <w:r>
        <w:rPr>
          <w:rFonts w:hint="eastAsia" w:ascii="Times New Roman" w:hAnsi="Times New Roman" w:eastAsia="宋体" w:cs="Times New Roman"/>
          <w:bCs/>
          <w:color w:val="auto"/>
          <w:kern w:val="2"/>
          <w:sz w:val="18"/>
          <w:szCs w:val="18"/>
          <w:highlight w:val="none"/>
        </w:rPr>
        <w:t>∑QH51</w:t>
      </w:r>
    </w:p>
    <w:p>
      <w:pPr>
        <w:tabs>
          <w:tab w:val="left" w:pos="753"/>
        </w:tabs>
        <w:snapToGrid w:val="0"/>
        <w:spacing w:line="360" w:lineRule="exact"/>
        <w:ind w:firstLine="0" w:firstLineChars="0"/>
        <w:jc w:val="center"/>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br w:type="page"/>
      </w:r>
      <w:r>
        <w:rPr>
          <w:rFonts w:hint="eastAsia" w:ascii="黑体" w:hAnsi="黑体" w:eastAsia="黑体" w:cs="黑体"/>
          <w:b w:val="0"/>
          <w:bCs/>
          <w:color w:val="auto"/>
          <w:sz w:val="32"/>
          <w:szCs w:val="32"/>
          <w:highlight w:val="none"/>
        </w:rPr>
        <w:t>指标解释</w:t>
      </w:r>
    </w:p>
    <w:p>
      <w:pPr>
        <w:pStyle w:val="2"/>
        <w:rPr>
          <w:rFonts w:ascii="Times New Roman" w:hAnsi="Times New Roman"/>
          <w:color w:val="auto"/>
          <w:highlight w:val="none"/>
        </w:rPr>
      </w:pP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研究开发人员合计</w:t>
      </w:r>
      <w:r>
        <w:rPr>
          <w:rFonts w:hint="eastAsia" w:ascii="宋体" w:hAnsi="宋体"/>
          <w:bCs/>
          <w:color w:val="auto"/>
          <w:szCs w:val="21"/>
          <w:highlight w:val="none"/>
        </w:rPr>
        <w:t>指报告期内企业参加研究开发活动的人员合计。该指标应与企业会计账中有关研究开发会计科目或向税务部门提供的研发支出辅助账中人员人工费子科目里涉及的全部人员对应。</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研究开发人员合计中管理和服务人员</w:t>
      </w:r>
      <w:r>
        <w:rPr>
          <w:rFonts w:hint="eastAsia" w:ascii="Times New Roman" w:hAnsi="Times New Roman"/>
          <w:bCs/>
          <w:color w:val="auto"/>
          <w:szCs w:val="21"/>
          <w:highlight w:val="none"/>
        </w:rPr>
        <w:t>指报告期内企业研究开发人员中主要从事项目管理和为项目提供直接服务的人员。管理人员包括企业主管研究开发项目工作的负责人，企业研究开发活动管理部门（科研管理处、部、科等）的工作人员以及企业办技术中心、科研院（所）、中试车间、试验基地、实验室等的管理人员；服务人员包括为研究开发活动提供资料文献、材料供应、设备维护等服务的人员（含中试车间、实验室、试验基地等的工人）。</w:t>
      </w:r>
    </w:p>
    <w:p>
      <w:pPr>
        <w:widowControl/>
        <w:spacing w:line="400" w:lineRule="exact"/>
        <w:ind w:firstLine="420" w:firstLineChars="200"/>
        <w:jc w:val="left"/>
        <w:rPr>
          <w:rFonts w:hint="eastAsia" w:ascii="Times New Roman" w:hAnsi="Times New Roman" w:eastAsia="宋体"/>
          <w:bCs/>
          <w:color w:val="auto"/>
          <w:szCs w:val="21"/>
          <w:highlight w:val="none"/>
          <w:lang w:eastAsia="zh-CN"/>
        </w:rPr>
      </w:pPr>
      <w:r>
        <w:rPr>
          <w:rFonts w:ascii="Times New Roman" w:hAnsi="Times New Roman" w:eastAsia="黑体"/>
          <w:bCs/>
          <w:color w:val="auto"/>
          <w:szCs w:val="21"/>
          <w:highlight w:val="none"/>
        </w:rPr>
        <w:t>研究开发人员合计中全职人员</w:t>
      </w:r>
      <w:r>
        <w:rPr>
          <w:rFonts w:hint="eastAsia" w:ascii="Times New Roman" w:hAnsi="Times New Roman"/>
          <w:bCs/>
          <w:color w:val="auto"/>
          <w:szCs w:val="21"/>
          <w:highlight w:val="none"/>
        </w:rPr>
        <w:t>指报告期内企业研究开发人员中实际从事研究开发活动的时间占制度工作时间90%及以上的人员</w:t>
      </w:r>
      <w:r>
        <w:rPr>
          <w:rFonts w:hint="eastAsia" w:ascii="Times New Roman" w:hAnsi="Times New Roman"/>
          <w:bCs/>
          <w:color w:val="auto"/>
          <w:szCs w:val="21"/>
          <w:highlight w:val="none"/>
          <w:lang w:eastAsia="zh-CN"/>
        </w:rPr>
        <w:t>。</w:t>
      </w:r>
    </w:p>
    <w:p>
      <w:pPr>
        <w:spacing w:line="400" w:lineRule="exact"/>
        <w:ind w:firstLine="420" w:firstLineChars="200"/>
        <w:rPr>
          <w:rFonts w:ascii="Times New Roman" w:hAnsi="Times New Roman"/>
          <w:bCs/>
          <w:color w:val="auto"/>
          <w:sz w:val="24"/>
          <w:szCs w:val="24"/>
          <w:highlight w:val="none"/>
        </w:rPr>
      </w:pPr>
      <w:r>
        <w:rPr>
          <w:rFonts w:ascii="Times New Roman" w:hAnsi="Times New Roman" w:eastAsia="黑体"/>
          <w:bCs/>
          <w:color w:val="auto"/>
          <w:szCs w:val="21"/>
          <w:highlight w:val="none"/>
        </w:rPr>
        <w:t>研究开发人员合计中本科毕业及以上人员</w:t>
      </w:r>
      <w:r>
        <w:rPr>
          <w:rFonts w:hint="eastAsia" w:ascii="Times New Roman" w:hAnsi="Times New Roman"/>
          <w:bCs/>
          <w:color w:val="auto"/>
          <w:szCs w:val="21"/>
          <w:highlight w:val="none"/>
        </w:rPr>
        <w:t>指报告期内企业研究开发人员中具有大学本科学历或学士学位及以上学历或学位的人员。</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研究开发人员合计中外聘人员</w:t>
      </w:r>
      <w:r>
        <w:rPr>
          <w:rFonts w:hint="eastAsia" w:ascii="Times New Roman" w:hAnsi="Times New Roman"/>
          <w:bCs/>
          <w:color w:val="auto"/>
          <w:szCs w:val="21"/>
          <w:highlight w:val="none"/>
        </w:rPr>
        <w:t>指报告期内企业研究开发人员中外聘的人员。</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研究开发费用合计</w:t>
      </w:r>
      <w:r>
        <w:rPr>
          <w:rFonts w:hint="eastAsia" w:ascii="Times New Roman" w:hAnsi="Times New Roman"/>
          <w:bCs/>
          <w:color w:val="auto"/>
          <w:szCs w:val="21"/>
          <w:highlight w:val="none"/>
        </w:rPr>
        <w:t>指报告期内企业用于研究开发活动的费用合计，包括人员人工费用、直接投入费用、折旧费用与长期待摊费用、无形资产摊销费用、设计费用、装备调试费用与试验费用、委托外部研究开发费用及其他费用。该指标应与企业会计账中有关研究开发会计科目或向税务部门提供的研发支出辅助账中研究开发费用对应。</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研究开发费用合计中人员人工费</w:t>
      </w:r>
      <w:r>
        <w:rPr>
          <w:rFonts w:hint="eastAsia" w:ascii="Times New Roman" w:hAnsi="Times New Roman"/>
          <w:bCs/>
          <w:color w:val="auto"/>
          <w:szCs w:val="21"/>
          <w:highlight w:val="none"/>
        </w:rPr>
        <w:t>指报告期内企业研究开发人员的工资薪金、基本养老保险费、基本医疗保险费、失业保险费、工伤保险费、生育保险费和住房公积金，以及外聘研究开发人员的劳务费用等。该指标应与企业会计账中有关研究开发会计科目或向税务部门提供的研发支出辅助账中人员人工费用对应。</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研究开发费用合计中直接投入费用</w:t>
      </w:r>
      <w:r>
        <w:rPr>
          <w:rFonts w:hint="eastAsia" w:ascii="Times New Roman" w:hAnsi="Times New Roman"/>
          <w:bCs/>
          <w:color w:val="auto"/>
          <w:szCs w:val="21"/>
          <w:highlight w:val="none"/>
        </w:rPr>
        <w:t>指报告期内企业为实施研究开发活动而实际发生的相关支出。包括直接消耗的材料、燃料和动力费用；用于中间试验和产品试制的模具、工艺装备开发及制造费，不构成固定资产的样品、样机及一般测试手段购置费，试制产品的检验费；用于研究开发活动的仪器、设备的运行维护、调整、检验、检测、维修等费用，以及通过经营租赁方式租入的用于研究开发活动的固定资产租赁费等。该指标应与企业会计账中有关研究开发会计科目或向税务部门提供的研发支出辅助账中直接投入费用对应。</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研究开发费用合计中折旧费用与长期待摊费用</w:t>
      </w:r>
      <w:r>
        <w:rPr>
          <w:rFonts w:hint="eastAsia" w:ascii="Times New Roman" w:hAnsi="Times New Roman"/>
          <w:bCs/>
          <w:color w:val="auto"/>
          <w:szCs w:val="21"/>
          <w:highlight w:val="none"/>
        </w:rPr>
        <w:t>指报告期内企业用于研究开发活动的仪器、设备和在用建筑物的折旧费，以及研究开发设施的改建、改装、装修和修理过程中发生的长期待摊费用等。该指标应与企业会计账中有关研究开发会计科目或向税务部门提供的有研发支出辅助账中折旧费用对应。</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研究开发费用合计中无形资产摊销费用</w:t>
      </w:r>
      <w:r>
        <w:rPr>
          <w:rFonts w:hint="eastAsia" w:ascii="Times New Roman" w:hAnsi="Times New Roman"/>
          <w:bCs/>
          <w:color w:val="auto"/>
          <w:szCs w:val="21"/>
          <w:highlight w:val="none"/>
        </w:rPr>
        <w:t>指报告期内企业用于研究开发活动的软件、知识产权、非专利技术（专有技术、许可证、设计和计算方法等）的摊销费用等。该指标应与企业会计账中有关研究开发会计科目或向税务部门提供的研发支出辅助账中无形资产摊销费用对应。</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研究开发费用合计中设计费用</w:t>
      </w:r>
      <w:r>
        <w:rPr>
          <w:rFonts w:hint="eastAsia" w:ascii="Times New Roman" w:hAnsi="Times New Roman"/>
          <w:bCs/>
          <w:color w:val="auto"/>
          <w:szCs w:val="21"/>
          <w:highlight w:val="none"/>
        </w:rPr>
        <w:t>指报告期内企业为新产品和新工艺进行构思、开发和制造，进行工序、技术规范、规程制定、操作特性方面的设计等发生的费用，包括为获得创新性、创意性、突破性产品进行的创意设计活动发生的相关费用等。该指标应与企业会计账中有关研究开发会计科目或向税务部门提供的研发支出辅助账中设计费用对应。对于按照研究开发费用加计扣除减免政策进行核算的企业，该指标应与其新产品设计费用和新工艺规程制定费用合计对应。</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研究开发费用合计中装备调试费用与试验费用</w:t>
      </w:r>
      <w:r>
        <w:rPr>
          <w:rFonts w:hint="eastAsia" w:ascii="Times New Roman" w:hAnsi="Times New Roman"/>
          <w:bCs/>
          <w:color w:val="auto"/>
          <w:szCs w:val="21"/>
          <w:highlight w:val="none"/>
        </w:rPr>
        <w:t>装备调试费用指报告期内企业在工装准备过程中研究开发活动所发生的费用，包括研制特殊、专用的生产机器，改变生产和质量控制程序，或制定新方法及标准等活动所发生的费用。不包括为大规模批量化和商业化生产所进行的常规性工装准备和工业工程发生的费用。试验费用包括新药研制的临床试验费、勘探开发技术的现场试验费、田间试验费等。该指标应与企业会计账中有关研究开发会计科目或向税务部门提供的研发支出辅助账中设计费用对应。对于按照研究开发费用加计扣除减免政策进行核算的企业，该指标应与其新药研制的临床试验费和勘探开发技术的现场试验费合计对应。</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研究开发费用合计中委托外部研究开发费用</w:t>
      </w:r>
      <w:r>
        <w:rPr>
          <w:rFonts w:hint="eastAsia" w:ascii="Times New Roman" w:hAnsi="Times New Roman"/>
          <w:bCs/>
          <w:color w:val="auto"/>
          <w:szCs w:val="21"/>
          <w:highlight w:val="none"/>
        </w:rPr>
        <w:t>指报告期内企业委托境内外其他机构进行研究开发活动所发生的费用。该指标应与企业会计账中有关研究开发会计科目或向税务部门提供的研发支出辅助账中委托研发费用对应。</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委托外部研究开发费用中委托境内研究机构</w:t>
      </w:r>
      <w:r>
        <w:rPr>
          <w:rFonts w:hint="eastAsia" w:ascii="Times New Roman" w:hAnsi="Times New Roman"/>
          <w:bCs/>
          <w:color w:val="auto"/>
          <w:szCs w:val="21"/>
          <w:highlight w:val="none"/>
        </w:rPr>
        <w:t>指报告期内企业委托境内独立研究机构开展研究开发活动而支付予其的费用。</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委托外部研究开发费用中委托境内高等学校</w:t>
      </w:r>
      <w:r>
        <w:rPr>
          <w:rFonts w:hint="eastAsia" w:ascii="Times New Roman" w:hAnsi="Times New Roman"/>
          <w:bCs/>
          <w:color w:val="auto"/>
          <w:szCs w:val="21"/>
          <w:highlight w:val="none"/>
        </w:rPr>
        <w:t>指报告期内企业委托境内高等学校开展研究开发活动而支付予其的费用。</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委托外部研究开发费用中委托境内企业</w:t>
      </w:r>
      <w:r>
        <w:rPr>
          <w:rFonts w:hint="eastAsia" w:ascii="Times New Roman" w:hAnsi="Times New Roman"/>
          <w:bCs/>
          <w:color w:val="auto"/>
          <w:szCs w:val="21"/>
          <w:highlight w:val="none"/>
        </w:rPr>
        <w:t>指报告期内企业委托境内其他企业开展研究开发活动而支付予其的费用。</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委托外部研究开发费用中委托境外机构</w:t>
      </w:r>
      <w:r>
        <w:rPr>
          <w:rFonts w:hint="eastAsia" w:ascii="Times New Roman" w:hAnsi="Times New Roman"/>
          <w:bCs/>
          <w:color w:val="auto"/>
          <w:szCs w:val="21"/>
          <w:highlight w:val="none"/>
        </w:rPr>
        <w:t>指报告期内企业委托国外或港澳台机构开展研究开发活动而支付予其的费用。</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研究开发费用合计中其他费用</w:t>
      </w:r>
      <w:r>
        <w:rPr>
          <w:rFonts w:hint="eastAsia" w:ascii="Times New Roman" w:hAnsi="Times New Roman"/>
          <w:bCs/>
          <w:color w:val="auto"/>
          <w:szCs w:val="21"/>
          <w:highlight w:val="none"/>
        </w:rPr>
        <w:t>指报告期内企业除上述费用之外与研究开发活动直接相关的其他费用，包括技术图书资料费、资料翻译费、专家咨询费、高新科技研发保险费，研发成果的检索、论证、评审、鉴定、验收费用，知识产权的申请费、注册费、代理费，会议费、差旅费、通讯费等。该指标应与企业会计账中有关研究开发会计科目或向税务部门提供的研发支出辅助账中其他相关费用对应。</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当年形成用于研究开发的固定资产</w:t>
      </w:r>
      <w:r>
        <w:rPr>
          <w:rFonts w:hint="eastAsia" w:ascii="Times New Roman" w:hAnsi="Times New Roman"/>
          <w:bCs/>
          <w:color w:val="auto"/>
          <w:szCs w:val="21"/>
          <w:highlight w:val="none"/>
        </w:rPr>
        <w:t>指报告期内企业形成用于研究开发的固定资产原价。该指标应与企业有关会计科目计入的形成用于企业研究开发活动的固定资产原价对应。对于研究开发与生产共用的固定资产应按比例进行分摊，其中仪器和设备一般应按使用时间进行分摊，建筑物一般应按使用面积进行分摊。</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当年形成用于研究开发的固定资产中的仪器和设备</w:t>
      </w:r>
      <w:r>
        <w:rPr>
          <w:rFonts w:hint="eastAsia" w:ascii="Times New Roman" w:hAnsi="Times New Roman"/>
          <w:bCs/>
          <w:color w:val="auto"/>
          <w:szCs w:val="21"/>
          <w:highlight w:val="none"/>
        </w:rPr>
        <w:t>指报告期内企业形成用于研究开发的固定资产中的仪器和设备原价。其中，设备包括用于研究开发活动的各类机器和设备、试验测量仪器、运输工具、工装工具等。</w:t>
      </w:r>
    </w:p>
    <w:p>
      <w:pPr>
        <w:widowControl/>
        <w:spacing w:line="400" w:lineRule="exact"/>
        <w:ind w:firstLine="420" w:firstLineChars="200"/>
        <w:jc w:val="left"/>
        <w:rPr>
          <w:rFonts w:ascii="Times New Roman" w:hAnsi="Times New Roman" w:eastAsia="黑体"/>
          <w:bCs/>
          <w:color w:val="auto"/>
          <w:szCs w:val="21"/>
          <w:highlight w:val="none"/>
        </w:rPr>
      </w:pPr>
      <w:r>
        <w:rPr>
          <w:rFonts w:ascii="Times New Roman" w:hAnsi="Times New Roman" w:eastAsia="黑体"/>
          <w:bCs/>
          <w:color w:val="auto"/>
          <w:szCs w:val="21"/>
          <w:highlight w:val="none"/>
        </w:rPr>
        <w:t>研究开发经费来源情况</w:t>
      </w:r>
      <w:r>
        <w:rPr>
          <w:rFonts w:ascii="宋体" w:hAnsi="宋体"/>
          <w:bCs/>
          <w:color w:val="auto"/>
          <w:szCs w:val="21"/>
          <w:highlight w:val="none"/>
        </w:rPr>
        <w:t>指报告期内企业从各种途径获得的研究开发经费情况，</w:t>
      </w:r>
      <w:r>
        <w:rPr>
          <w:rFonts w:hint="eastAsia" w:ascii="宋体" w:hAnsi="宋体"/>
          <w:bCs/>
          <w:color w:val="auto"/>
          <w:szCs w:val="21"/>
          <w:highlight w:val="none"/>
        </w:rPr>
        <w:t>主要</w:t>
      </w:r>
      <w:r>
        <w:rPr>
          <w:rFonts w:ascii="宋体" w:hAnsi="宋体"/>
          <w:bCs/>
          <w:color w:val="auto"/>
          <w:szCs w:val="21"/>
          <w:highlight w:val="none"/>
        </w:rPr>
        <w:t>包括</w:t>
      </w:r>
      <w:r>
        <w:rPr>
          <w:rFonts w:hint="eastAsia" w:ascii="宋体" w:hAnsi="宋体"/>
          <w:bCs/>
          <w:color w:val="auto"/>
          <w:szCs w:val="21"/>
          <w:highlight w:val="none"/>
        </w:rPr>
        <w:t>研究和试验发展阶段与研究开发有关的人、财、物、时间、信息等资源的投入科技经费的总量，不包括产业化阶段的投入。研究开发</w:t>
      </w:r>
      <w:r>
        <w:rPr>
          <w:rFonts w:ascii="宋体" w:hAnsi="宋体"/>
          <w:bCs/>
          <w:color w:val="auto"/>
          <w:szCs w:val="21"/>
          <w:highlight w:val="none"/>
        </w:rPr>
        <w:t>经费主要</w:t>
      </w:r>
      <w:r>
        <w:rPr>
          <w:rFonts w:hint="eastAsia" w:ascii="宋体" w:hAnsi="宋体"/>
          <w:bCs/>
          <w:color w:val="auto"/>
          <w:szCs w:val="21"/>
          <w:highlight w:val="none"/>
        </w:rPr>
        <w:t>分为：（</w:t>
      </w:r>
      <w:r>
        <w:rPr>
          <w:rFonts w:ascii="Times New Roman" w:hAnsi="Times New Roman"/>
          <w:bCs/>
          <w:color w:val="auto"/>
          <w:szCs w:val="21"/>
          <w:highlight w:val="none"/>
        </w:rPr>
        <w:t>1）对科学研究与试验发展活动的投入，其中包括基础研究、应用研究和试验发展三种类型；（2）对科技教育与培训的投入；（3）科学</w:t>
      </w:r>
      <w:r>
        <w:rPr>
          <w:rFonts w:ascii="宋体" w:hAnsi="宋体"/>
          <w:bCs/>
          <w:color w:val="auto"/>
          <w:szCs w:val="21"/>
          <w:highlight w:val="none"/>
        </w:rPr>
        <w:t>技术服务过程中的技术开发投入；</w:t>
      </w:r>
      <w:r>
        <w:rPr>
          <w:rFonts w:ascii="Times New Roman" w:hAnsi="Times New Roman"/>
          <w:bCs/>
          <w:color w:val="auto"/>
          <w:szCs w:val="21"/>
          <w:highlight w:val="none"/>
        </w:rPr>
        <w:t>（4）对科技成果转化与应用的投入，包括设计与试制、小批试制、工业性试验等。（5）与研究开发有关的其它投入。主要反映企业开展科学研究与试验发展、科学研究与试验发展成果应用、科技教育与培训及相关科技服务等全部研究开发的支出情况。企业接受外单位委托所开展的科研活动相关支出不作为本企业的科技支出反映。来源渠道包括企业自</w:t>
      </w:r>
      <w:r>
        <w:rPr>
          <w:rFonts w:ascii="宋体" w:hAnsi="宋体"/>
          <w:bCs/>
          <w:color w:val="auto"/>
          <w:szCs w:val="21"/>
          <w:highlight w:val="none"/>
        </w:rPr>
        <w:t>筹、政府部门、银行贷款、风险投资、其他渠道等。</w:t>
      </w:r>
    </w:p>
    <w:p>
      <w:pPr>
        <w:widowControl/>
        <w:spacing w:line="360" w:lineRule="exact"/>
        <w:ind w:firstLine="420" w:firstLineChars="200"/>
        <w:rPr>
          <w:rFonts w:hint="eastAsia" w:ascii="宋体" w:hAnsi="宋体" w:cs="宋体"/>
          <w:color w:val="auto"/>
          <w:highlight w:val="none"/>
        </w:rPr>
      </w:pPr>
      <w:r>
        <w:rPr>
          <w:rFonts w:hint="eastAsia" w:ascii="黑体" w:hAnsi="黑体" w:eastAsia="黑体" w:cs="宋体"/>
          <w:color w:val="auto"/>
          <w:highlight w:val="none"/>
        </w:rPr>
        <w:t>来自</w:t>
      </w:r>
      <w:r>
        <w:rPr>
          <w:rFonts w:ascii="黑体" w:hAnsi="黑体" w:eastAsia="黑体" w:cs="宋体"/>
          <w:color w:val="auto"/>
          <w:highlight w:val="none"/>
        </w:rPr>
        <w:t>企业自筹</w:t>
      </w:r>
      <w:r>
        <w:rPr>
          <w:rFonts w:hint="eastAsia" w:ascii="宋体" w:hAnsi="宋体" w:cs="宋体"/>
          <w:color w:val="auto"/>
          <w:highlight w:val="none"/>
        </w:rPr>
        <w:t>指报告期内企业来源</w:t>
      </w:r>
      <w:r>
        <w:rPr>
          <w:rFonts w:ascii="宋体" w:hAnsi="宋体" w:cs="宋体"/>
          <w:color w:val="auto"/>
          <w:highlight w:val="none"/>
        </w:rPr>
        <w:t>于企业自有资金的研究开发经费合计，包括</w:t>
      </w:r>
      <w:r>
        <w:rPr>
          <w:rFonts w:hint="eastAsia" w:ascii="宋体" w:hAnsi="宋体" w:cs="宋体"/>
          <w:color w:val="auto"/>
          <w:highlight w:val="none"/>
        </w:rPr>
        <w:t>用于</w:t>
      </w:r>
      <w:r>
        <w:rPr>
          <w:rFonts w:ascii="宋体" w:hAnsi="宋体" w:cs="宋体"/>
          <w:color w:val="auto"/>
          <w:highlight w:val="none"/>
        </w:rPr>
        <w:t>各项</w:t>
      </w:r>
      <w:r>
        <w:rPr>
          <w:rFonts w:hint="eastAsia" w:ascii="宋体" w:hAnsi="宋体" w:cs="宋体"/>
          <w:color w:val="auto"/>
          <w:highlight w:val="none"/>
        </w:rPr>
        <w:t>研究</w:t>
      </w:r>
      <w:r>
        <w:rPr>
          <w:rFonts w:ascii="宋体" w:hAnsi="宋体" w:cs="宋体"/>
          <w:color w:val="auto"/>
          <w:highlight w:val="none"/>
        </w:rPr>
        <w:t>开发费用</w:t>
      </w:r>
      <w:r>
        <w:rPr>
          <w:rFonts w:hint="eastAsia" w:ascii="宋体" w:hAnsi="宋体" w:cs="宋体"/>
          <w:color w:val="auto"/>
          <w:highlight w:val="none"/>
        </w:rPr>
        <w:t>支出</w:t>
      </w:r>
      <w:r>
        <w:rPr>
          <w:rFonts w:ascii="宋体" w:hAnsi="宋体" w:cs="宋体"/>
          <w:color w:val="auto"/>
          <w:highlight w:val="none"/>
        </w:rPr>
        <w:t>，也包括</w:t>
      </w:r>
      <w:r>
        <w:rPr>
          <w:rFonts w:hint="eastAsia" w:ascii="宋体" w:hAnsi="宋体" w:cs="宋体"/>
          <w:color w:val="auto"/>
          <w:highlight w:val="none"/>
        </w:rPr>
        <w:t>用于</w:t>
      </w:r>
      <w:r>
        <w:rPr>
          <w:rFonts w:ascii="宋体" w:hAnsi="宋体" w:cs="宋体"/>
          <w:color w:val="auto"/>
          <w:highlight w:val="none"/>
        </w:rPr>
        <w:t>研究开发的</w:t>
      </w:r>
      <w:r>
        <w:rPr>
          <w:rFonts w:hint="eastAsia" w:ascii="宋体" w:hAnsi="宋体" w:cs="宋体"/>
          <w:color w:val="auto"/>
          <w:highlight w:val="none"/>
        </w:rPr>
        <w:t>仪器</w:t>
      </w:r>
      <w:r>
        <w:rPr>
          <w:rFonts w:ascii="宋体" w:hAnsi="宋体" w:cs="宋体"/>
          <w:color w:val="auto"/>
          <w:highlight w:val="none"/>
        </w:rPr>
        <w:t>设备等资产投入。</w:t>
      </w:r>
    </w:p>
    <w:p>
      <w:pPr>
        <w:spacing w:line="360" w:lineRule="exact"/>
        <w:ind w:firstLine="420" w:firstLineChars="200"/>
        <w:rPr>
          <w:rFonts w:hint="eastAsia" w:ascii="宋体" w:hAnsi="宋体" w:cs="宋体"/>
          <w:color w:val="auto"/>
          <w:highlight w:val="none"/>
        </w:rPr>
      </w:pPr>
      <w:r>
        <w:rPr>
          <w:rFonts w:hint="eastAsia" w:ascii="黑体" w:hAnsi="黑体" w:eastAsia="黑体" w:cs="宋体"/>
          <w:color w:val="auto"/>
          <w:highlight w:val="none"/>
        </w:rPr>
        <w:t>来自政府部门</w:t>
      </w:r>
      <w:r>
        <w:rPr>
          <w:rFonts w:hint="eastAsia" w:ascii="宋体" w:hAnsi="宋体" w:cs="宋体"/>
          <w:color w:val="auto"/>
          <w:highlight w:val="none"/>
        </w:rPr>
        <w:t>指报告期内企业从政府有关部门获得的研究开发经费合计，包括科技专项费、科研基建费、政府专项基金和补贴等。该指标应与有关会计科目计入的从政府有关部门获得的研究开发经费对应。</w:t>
      </w:r>
    </w:p>
    <w:p>
      <w:pPr>
        <w:widowControl/>
        <w:spacing w:line="360" w:lineRule="exact"/>
        <w:ind w:firstLine="420" w:firstLineChars="200"/>
        <w:rPr>
          <w:rFonts w:hint="eastAsia" w:ascii="宋体" w:hAnsi="宋体" w:cs="宋体"/>
          <w:color w:val="auto"/>
          <w:highlight w:val="none"/>
        </w:rPr>
      </w:pPr>
      <w:r>
        <w:rPr>
          <w:rFonts w:hint="eastAsia" w:ascii="黑体" w:hAnsi="黑体" w:eastAsia="黑体" w:cs="宋体"/>
          <w:color w:val="auto"/>
          <w:highlight w:val="none"/>
        </w:rPr>
        <w:t>来自</w:t>
      </w:r>
      <w:r>
        <w:rPr>
          <w:rFonts w:ascii="黑体" w:hAnsi="黑体" w:eastAsia="黑体" w:cs="宋体"/>
          <w:color w:val="auto"/>
          <w:highlight w:val="none"/>
        </w:rPr>
        <w:t>银行贷款</w:t>
      </w:r>
      <w:r>
        <w:rPr>
          <w:rFonts w:hint="eastAsia" w:ascii="宋体" w:hAnsi="宋体" w:cs="宋体"/>
          <w:color w:val="auto"/>
          <w:highlight w:val="none"/>
        </w:rPr>
        <w:t>指报告期内企业来源</w:t>
      </w:r>
      <w:r>
        <w:rPr>
          <w:rFonts w:ascii="宋体" w:hAnsi="宋体" w:cs="宋体"/>
          <w:color w:val="auto"/>
          <w:highlight w:val="none"/>
        </w:rPr>
        <w:t>于银行贷款的研究开发经费合计</w:t>
      </w:r>
      <w:r>
        <w:rPr>
          <w:rFonts w:hint="eastAsia" w:ascii="宋体" w:hAnsi="宋体" w:cs="宋体"/>
          <w:color w:val="auto"/>
          <w:highlight w:val="none"/>
        </w:rPr>
        <w:t>，</w:t>
      </w:r>
      <w:r>
        <w:rPr>
          <w:rFonts w:ascii="宋体" w:hAnsi="宋体" w:cs="宋体"/>
          <w:color w:val="auto"/>
          <w:highlight w:val="none"/>
        </w:rPr>
        <w:t>包括</w:t>
      </w:r>
      <w:r>
        <w:rPr>
          <w:rFonts w:hint="eastAsia" w:ascii="宋体" w:hAnsi="宋体" w:cs="宋体"/>
          <w:color w:val="auto"/>
          <w:highlight w:val="none"/>
        </w:rPr>
        <w:t>用于</w:t>
      </w:r>
      <w:r>
        <w:rPr>
          <w:rFonts w:ascii="宋体" w:hAnsi="宋体" w:cs="宋体"/>
          <w:color w:val="auto"/>
          <w:highlight w:val="none"/>
        </w:rPr>
        <w:t>各项</w:t>
      </w:r>
      <w:r>
        <w:rPr>
          <w:rFonts w:hint="eastAsia" w:ascii="宋体" w:hAnsi="宋体" w:cs="宋体"/>
          <w:color w:val="auto"/>
          <w:highlight w:val="none"/>
        </w:rPr>
        <w:t>研究</w:t>
      </w:r>
      <w:r>
        <w:rPr>
          <w:rFonts w:ascii="宋体" w:hAnsi="宋体" w:cs="宋体"/>
          <w:color w:val="auto"/>
          <w:highlight w:val="none"/>
        </w:rPr>
        <w:t>开发费用</w:t>
      </w:r>
      <w:r>
        <w:rPr>
          <w:rFonts w:hint="eastAsia" w:ascii="宋体" w:hAnsi="宋体" w:cs="宋体"/>
          <w:color w:val="auto"/>
          <w:highlight w:val="none"/>
        </w:rPr>
        <w:t>支出</w:t>
      </w:r>
      <w:r>
        <w:rPr>
          <w:rFonts w:ascii="宋体" w:hAnsi="宋体" w:cs="宋体"/>
          <w:color w:val="auto"/>
          <w:highlight w:val="none"/>
        </w:rPr>
        <w:t>，也包括</w:t>
      </w:r>
      <w:r>
        <w:rPr>
          <w:rFonts w:hint="eastAsia" w:ascii="宋体" w:hAnsi="宋体" w:cs="宋体"/>
          <w:color w:val="auto"/>
          <w:highlight w:val="none"/>
        </w:rPr>
        <w:t>用于</w:t>
      </w:r>
      <w:r>
        <w:rPr>
          <w:rFonts w:ascii="宋体" w:hAnsi="宋体" w:cs="宋体"/>
          <w:color w:val="auto"/>
          <w:highlight w:val="none"/>
        </w:rPr>
        <w:t>研究开发的</w:t>
      </w:r>
      <w:r>
        <w:rPr>
          <w:rFonts w:hint="eastAsia" w:ascii="宋体" w:hAnsi="宋体" w:cs="宋体"/>
          <w:color w:val="auto"/>
          <w:highlight w:val="none"/>
        </w:rPr>
        <w:t>仪器</w:t>
      </w:r>
      <w:r>
        <w:rPr>
          <w:rFonts w:ascii="宋体" w:hAnsi="宋体" w:cs="宋体"/>
          <w:color w:val="auto"/>
          <w:highlight w:val="none"/>
        </w:rPr>
        <w:t>设备等资产投入。</w:t>
      </w:r>
    </w:p>
    <w:p>
      <w:pPr>
        <w:widowControl/>
        <w:spacing w:line="360" w:lineRule="exact"/>
        <w:ind w:firstLine="420" w:firstLineChars="200"/>
        <w:rPr>
          <w:rFonts w:hint="eastAsia" w:ascii="宋体" w:hAnsi="宋体" w:cs="宋体"/>
          <w:color w:val="auto"/>
          <w:highlight w:val="none"/>
        </w:rPr>
      </w:pPr>
      <w:r>
        <w:rPr>
          <w:rFonts w:hint="eastAsia" w:ascii="黑体" w:hAnsi="黑体" w:eastAsia="黑体" w:cs="宋体"/>
          <w:color w:val="auto"/>
          <w:highlight w:val="none"/>
        </w:rPr>
        <w:t>来自风险投资</w:t>
      </w:r>
      <w:r>
        <w:rPr>
          <w:rFonts w:hint="eastAsia" w:ascii="宋体" w:hAnsi="宋体" w:cs="宋体"/>
          <w:color w:val="auto"/>
          <w:highlight w:val="none"/>
        </w:rPr>
        <w:t>指报告期内企业来源</w:t>
      </w:r>
      <w:r>
        <w:rPr>
          <w:rFonts w:ascii="宋体" w:hAnsi="宋体" w:cs="宋体"/>
          <w:color w:val="auto"/>
          <w:highlight w:val="none"/>
        </w:rPr>
        <w:t>于</w:t>
      </w:r>
      <w:r>
        <w:rPr>
          <w:rFonts w:hint="eastAsia" w:ascii="宋体" w:hAnsi="宋体" w:cs="宋体"/>
          <w:color w:val="auto"/>
          <w:highlight w:val="none"/>
        </w:rPr>
        <w:t>风险投资(</w:t>
      </w:r>
      <w:r>
        <w:rPr>
          <w:rFonts w:ascii="宋体" w:hAnsi="宋体" w:cs="宋体"/>
          <w:color w:val="auto"/>
          <w:highlight w:val="none"/>
        </w:rPr>
        <w:t>VC</w:t>
      </w:r>
      <w:r>
        <w:rPr>
          <w:rFonts w:hint="eastAsia" w:ascii="宋体" w:hAnsi="宋体" w:cs="宋体"/>
          <w:color w:val="auto"/>
          <w:highlight w:val="none"/>
        </w:rPr>
        <w:t>)</w:t>
      </w:r>
      <w:r>
        <w:rPr>
          <w:rFonts w:ascii="宋体" w:hAnsi="宋体" w:cs="宋体"/>
          <w:color w:val="auto"/>
          <w:highlight w:val="none"/>
        </w:rPr>
        <w:t>的研究开发经费合计</w:t>
      </w:r>
      <w:r>
        <w:rPr>
          <w:rFonts w:hint="eastAsia" w:ascii="宋体" w:hAnsi="宋体" w:cs="宋体"/>
          <w:color w:val="auto"/>
          <w:highlight w:val="none"/>
        </w:rPr>
        <w:t>，</w:t>
      </w:r>
      <w:r>
        <w:rPr>
          <w:rFonts w:ascii="宋体" w:hAnsi="宋体" w:cs="宋体"/>
          <w:color w:val="auto"/>
          <w:highlight w:val="none"/>
        </w:rPr>
        <w:t>包括</w:t>
      </w:r>
      <w:r>
        <w:rPr>
          <w:rFonts w:hint="eastAsia" w:ascii="宋体" w:hAnsi="宋体" w:cs="宋体"/>
          <w:color w:val="auto"/>
          <w:highlight w:val="none"/>
        </w:rPr>
        <w:t>用于</w:t>
      </w:r>
      <w:r>
        <w:rPr>
          <w:rFonts w:ascii="宋体" w:hAnsi="宋体" w:cs="宋体"/>
          <w:color w:val="auto"/>
          <w:highlight w:val="none"/>
        </w:rPr>
        <w:t>各项</w:t>
      </w:r>
      <w:r>
        <w:rPr>
          <w:rFonts w:hint="eastAsia" w:ascii="宋体" w:hAnsi="宋体" w:cs="宋体"/>
          <w:color w:val="auto"/>
          <w:highlight w:val="none"/>
        </w:rPr>
        <w:t>研究</w:t>
      </w:r>
      <w:r>
        <w:rPr>
          <w:rFonts w:ascii="宋体" w:hAnsi="宋体" w:cs="宋体"/>
          <w:color w:val="auto"/>
          <w:highlight w:val="none"/>
        </w:rPr>
        <w:t>开发费用</w:t>
      </w:r>
      <w:r>
        <w:rPr>
          <w:rFonts w:hint="eastAsia" w:ascii="宋体" w:hAnsi="宋体" w:cs="宋体"/>
          <w:color w:val="auto"/>
          <w:highlight w:val="none"/>
        </w:rPr>
        <w:t>支出</w:t>
      </w:r>
      <w:r>
        <w:rPr>
          <w:rFonts w:ascii="宋体" w:hAnsi="宋体" w:cs="宋体"/>
          <w:color w:val="auto"/>
          <w:highlight w:val="none"/>
        </w:rPr>
        <w:t>，也包括</w:t>
      </w:r>
      <w:r>
        <w:rPr>
          <w:rFonts w:hint="eastAsia" w:ascii="宋体" w:hAnsi="宋体" w:cs="宋体"/>
          <w:color w:val="auto"/>
          <w:highlight w:val="none"/>
        </w:rPr>
        <w:t>用于</w:t>
      </w:r>
      <w:r>
        <w:rPr>
          <w:rFonts w:ascii="宋体" w:hAnsi="宋体" w:cs="宋体"/>
          <w:color w:val="auto"/>
          <w:highlight w:val="none"/>
        </w:rPr>
        <w:t>研究开发的</w:t>
      </w:r>
      <w:r>
        <w:rPr>
          <w:rFonts w:hint="eastAsia" w:ascii="宋体" w:hAnsi="宋体" w:cs="宋体"/>
          <w:color w:val="auto"/>
          <w:highlight w:val="none"/>
        </w:rPr>
        <w:t>仪器</w:t>
      </w:r>
      <w:r>
        <w:rPr>
          <w:rFonts w:ascii="宋体" w:hAnsi="宋体" w:cs="宋体"/>
          <w:color w:val="auto"/>
          <w:highlight w:val="none"/>
        </w:rPr>
        <w:t>设备等资产投入。</w:t>
      </w:r>
    </w:p>
    <w:p>
      <w:pPr>
        <w:pStyle w:val="2"/>
        <w:spacing w:after="0" w:line="400" w:lineRule="exact"/>
        <w:ind w:firstLine="420" w:firstLineChars="200"/>
        <w:rPr>
          <w:rFonts w:ascii="Times New Roman" w:hAnsi="Times New Roman"/>
          <w:color w:val="auto"/>
          <w:highlight w:val="none"/>
        </w:rPr>
      </w:pPr>
      <w:r>
        <w:rPr>
          <w:rFonts w:hint="eastAsia" w:ascii="黑体" w:hAnsi="黑体" w:eastAsia="黑体" w:cs="宋体"/>
          <w:color w:val="auto"/>
          <w:highlight w:val="none"/>
        </w:rPr>
        <w:t>来自其他渠道</w:t>
      </w:r>
      <w:r>
        <w:rPr>
          <w:rFonts w:hint="eastAsia" w:ascii="宋体" w:hAnsi="宋体" w:cs="宋体"/>
          <w:color w:val="auto"/>
          <w:highlight w:val="none"/>
        </w:rPr>
        <w:t>指报告期内企业其他不属于</w:t>
      </w:r>
      <w:r>
        <w:rPr>
          <w:rFonts w:ascii="宋体" w:hAnsi="宋体" w:cs="宋体"/>
          <w:color w:val="auto"/>
          <w:highlight w:val="none"/>
        </w:rPr>
        <w:t>以上</w:t>
      </w:r>
      <w:r>
        <w:rPr>
          <w:rFonts w:hint="eastAsia" w:ascii="宋体" w:hAnsi="宋体" w:cs="宋体"/>
          <w:color w:val="auto"/>
          <w:highlight w:val="none"/>
        </w:rPr>
        <w:t>资金</w:t>
      </w:r>
      <w:r>
        <w:rPr>
          <w:rFonts w:ascii="宋体" w:hAnsi="宋体" w:cs="宋体"/>
          <w:color w:val="auto"/>
          <w:highlight w:val="none"/>
        </w:rPr>
        <w:t>来源的研究开发经费合计</w:t>
      </w:r>
      <w:r>
        <w:rPr>
          <w:rFonts w:hint="eastAsia" w:ascii="宋体" w:hAnsi="宋体" w:cs="宋体"/>
          <w:color w:val="auto"/>
          <w:highlight w:val="none"/>
        </w:rPr>
        <w:t>，比如</w:t>
      </w:r>
      <w:r>
        <w:rPr>
          <w:rFonts w:ascii="宋体" w:hAnsi="宋体" w:cs="宋体"/>
          <w:color w:val="auto"/>
          <w:highlight w:val="none"/>
        </w:rPr>
        <w:t>捐赠、</w:t>
      </w:r>
      <w:r>
        <w:rPr>
          <w:rFonts w:hint="eastAsia" w:ascii="宋体" w:hAnsi="宋体" w:cs="宋体"/>
          <w:color w:val="auto"/>
          <w:highlight w:val="none"/>
        </w:rPr>
        <w:t>受委托</w:t>
      </w:r>
      <w:r>
        <w:rPr>
          <w:rFonts w:ascii="宋体" w:hAnsi="宋体" w:cs="宋体"/>
          <w:color w:val="auto"/>
          <w:highlight w:val="none"/>
        </w:rPr>
        <w:t>等。</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期末机构数</w:t>
      </w:r>
      <w:r>
        <w:rPr>
          <w:rFonts w:hint="eastAsia" w:ascii="Times New Roman" w:hAnsi="Times New Roman"/>
          <w:bCs/>
          <w:color w:val="auto"/>
          <w:szCs w:val="21"/>
          <w:highlight w:val="none"/>
        </w:rPr>
        <w:t>指报告期末企业在境内自办的研究开发机构数量。企业办研究开发机构指企业自办（或与外单位合办），管理上同生产系统相对独立（或单独核算）的专门研究开发机构，如企业办的技术中心、研究院所、开发中心等。企业办研究开发机构经过资源整合，同一机构被国家或省级有关部门认定为不同名称技术创新平台的，应按一个机构填报。与外单位合办的研究开发机构若主要由本企业出资兴办，则由本企业统计，否则应由合办方统计。企业研究开发管理职能处（科）室（如科研处、技术科等）一般不统计在内；若科研处、技术科等同时挂有研究开发机构的牌子，视其报告期内主要工作任务而定，主要任务是从事研究开发活动的可以统计，否则不予统计。本指标不含企业在国外或港澳台设立的研究开发机构数。</w:t>
      </w:r>
    </w:p>
    <w:p>
      <w:pPr>
        <w:spacing w:line="400" w:lineRule="exact"/>
        <w:ind w:firstLine="420" w:firstLineChars="200"/>
        <w:rPr>
          <w:rFonts w:ascii="Times New Roman" w:hAnsi="Times New Roman"/>
          <w:bCs/>
          <w:color w:val="auto"/>
          <w:sz w:val="24"/>
          <w:szCs w:val="24"/>
          <w:highlight w:val="none"/>
        </w:rPr>
      </w:pPr>
      <w:r>
        <w:rPr>
          <w:rFonts w:ascii="Times New Roman" w:hAnsi="Times New Roman" w:eastAsia="黑体"/>
          <w:bCs/>
          <w:color w:val="auto"/>
          <w:szCs w:val="21"/>
          <w:highlight w:val="none"/>
        </w:rPr>
        <w:t>机构研究开发人员合计</w:t>
      </w:r>
      <w:r>
        <w:rPr>
          <w:rFonts w:hint="eastAsia" w:ascii="Times New Roman" w:hAnsi="Times New Roman"/>
          <w:bCs/>
          <w:color w:val="auto"/>
          <w:szCs w:val="21"/>
          <w:highlight w:val="none"/>
        </w:rPr>
        <w:t>指报告期内企业办研究开发机构中研究开发人员合计。</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机构人员合计中博士毕业</w:t>
      </w:r>
      <w:r>
        <w:rPr>
          <w:rFonts w:hint="eastAsia" w:ascii="Times New Roman" w:hAnsi="Times New Roman"/>
          <w:bCs/>
          <w:color w:val="auto"/>
          <w:szCs w:val="21"/>
          <w:highlight w:val="none"/>
        </w:rPr>
        <w:t>指报告期内企业办研究开发机构中具有博士学历或博士学位的研究开发人员。</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机构人员合计中硕士毕业</w:t>
      </w:r>
      <w:r>
        <w:rPr>
          <w:rFonts w:hint="eastAsia" w:ascii="Times New Roman" w:hAnsi="Times New Roman"/>
          <w:bCs/>
          <w:color w:val="auto"/>
          <w:szCs w:val="21"/>
          <w:highlight w:val="none"/>
        </w:rPr>
        <w:t>指报告期内企业办研究开发机构中具有硕士学历或硕士学位的研究开发人员。</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机构研究开发费用</w:t>
      </w:r>
      <w:r>
        <w:rPr>
          <w:rFonts w:hint="eastAsia" w:ascii="Times New Roman" w:hAnsi="Times New Roman"/>
          <w:bCs/>
          <w:color w:val="auto"/>
          <w:szCs w:val="21"/>
          <w:highlight w:val="none"/>
        </w:rPr>
        <w:t>指报告期内企业办研究开发机构中用于研究开发活动的费用合计，包括人员人工费用、直接投入费用、折旧费用与长期待摊费用、无形资产摊销费用、设计费用、装备调试费用与试验费用、委托外部研究开发费用及其他费用。</w:t>
      </w:r>
    </w:p>
    <w:p>
      <w:pPr>
        <w:spacing w:line="400" w:lineRule="exact"/>
        <w:ind w:firstLine="420" w:firstLineChars="200"/>
        <w:rPr>
          <w:rFonts w:ascii="Times New Roman" w:hAnsi="Times New Roman"/>
          <w:bCs/>
          <w:color w:val="auto"/>
          <w:szCs w:val="21"/>
          <w:highlight w:val="none"/>
        </w:rPr>
      </w:pPr>
      <w:r>
        <w:rPr>
          <w:rFonts w:ascii="Times New Roman" w:hAnsi="Times New Roman" w:eastAsia="黑体"/>
          <w:bCs/>
          <w:color w:val="auto"/>
          <w:szCs w:val="21"/>
          <w:highlight w:val="none"/>
        </w:rPr>
        <w:t>当年专利申请数</w:t>
      </w:r>
      <w:r>
        <w:rPr>
          <w:rFonts w:hint="eastAsia" w:ascii="Times New Roman" w:hAnsi="Times New Roman"/>
          <w:bCs/>
          <w:color w:val="auto"/>
          <w:szCs w:val="21"/>
          <w:highlight w:val="none"/>
        </w:rPr>
        <w:t>指报告期内企业作为第一申请人向境内外知识产权行政部门提出专利申请并被受理后，按规定缴足申请费，符合进入初步审查阶段条件的件数。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当年申请发明专利</w:t>
      </w:r>
      <w:r>
        <w:rPr>
          <w:rFonts w:hint="eastAsia" w:ascii="Times New Roman" w:hAnsi="Times New Roman"/>
          <w:bCs/>
          <w:color w:val="auto"/>
          <w:szCs w:val="21"/>
          <w:highlight w:val="none"/>
        </w:rPr>
        <w:t>指报告期内企业作为第一申请人向境内外知识产权行政部门提出发明专利申请并被受理后，按规定缴足申请费，符合进入初步审查阶段条件的件数。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当年申请国内发明专利</w:t>
      </w:r>
      <w:r>
        <w:rPr>
          <w:rFonts w:ascii="Times New Roman" w:hAnsi="Times New Roman"/>
          <w:bCs/>
          <w:color w:val="auto"/>
          <w:szCs w:val="21"/>
          <w:highlight w:val="none"/>
        </w:rPr>
        <w:t>指报告期内企业作为第一申请人向我国专利机构提出发明专利申请的件数。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当年申请欧美日专利</w:t>
      </w:r>
      <w:r>
        <w:rPr>
          <w:rFonts w:ascii="Times New Roman" w:hAnsi="Times New Roman"/>
          <w:bCs/>
          <w:color w:val="auto"/>
          <w:szCs w:val="21"/>
          <w:highlight w:val="none"/>
        </w:rPr>
        <w:t>指报告期内企业作为第一申请人向欧洲知识产权局、美国商标与专利管理局和日本特许厅提出专利申请的件数。同一专利需向三方均提出申请并被受理，才有效，按1件计。</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当年申请PCT国际专利数</w:t>
      </w:r>
      <w:r>
        <w:rPr>
          <w:rFonts w:ascii="Times New Roman" w:hAnsi="Times New Roman"/>
          <w:bCs/>
          <w:color w:val="auto"/>
          <w:szCs w:val="21"/>
          <w:highlight w:val="none"/>
        </w:rPr>
        <w:t>指报告期内企业作为第一申请人提出的PCT国际专利申请数量。PCT是《专利合作条约》（Patent Cooperation Treaty）的英文缩写，是有关专利的国际条约。根据PCT的规定，专利申请人可以通过PCT途径递交国际专利申请，向多个国家申请专利。PCT专利申请分为国际阶段和国家阶段，其中，国际阶段由国际受理、国际检索，国际公布、初步审查等步骤，经过国际检索、国际公开以及国际初步审查（如果要求了的话）这一国际阶段之后，专利申请人办理进入国家阶段的手续。</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bCs/>
          <w:color w:val="auto"/>
          <w:szCs w:val="21"/>
          <w:highlight w:val="none"/>
        </w:rPr>
        <w:t>中国知识产权局专利局是中国国民或居民的主管受理局，同时也是国际检索单位和国际初步审查单位。中国申请人提出国际专利申请，应当经中华人民共和国国务院有关主管部门同意，并且应当委托涉外专利代理机构办理。中国申请人可以向中国专利局也可以向世界知识产权组织的国际局提交国际专利申请。</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bCs/>
          <w:color w:val="auto"/>
          <w:szCs w:val="21"/>
          <w:highlight w:val="none"/>
        </w:rPr>
        <w:t>应当注意的是，专利申请人只能通过PCT申请专利，不能直接通过PCT得到专利。要想获得某个国家的专利，专利申请人还必须履行进入该国家的手续，由该国的专利局对该专利申请进行审查，符合该国专利法规定的，授予专利权。</w:t>
      </w:r>
    </w:p>
    <w:p>
      <w:pPr>
        <w:widowControl/>
        <w:spacing w:line="400" w:lineRule="exact"/>
        <w:ind w:firstLine="420" w:firstLineChars="200"/>
        <w:jc w:val="left"/>
        <w:rPr>
          <w:rFonts w:ascii="宋体" w:hAnsi="宋体"/>
          <w:bCs/>
          <w:color w:val="auto"/>
          <w:szCs w:val="21"/>
          <w:highlight w:val="none"/>
        </w:rPr>
      </w:pPr>
      <w:r>
        <w:rPr>
          <w:rFonts w:ascii="Times New Roman" w:hAnsi="Times New Roman" w:eastAsia="黑体"/>
          <w:bCs/>
          <w:color w:val="auto"/>
          <w:szCs w:val="21"/>
          <w:highlight w:val="none"/>
        </w:rPr>
        <w:t>当年授权专利</w:t>
      </w:r>
      <w:r>
        <w:rPr>
          <w:rFonts w:hint="eastAsia" w:ascii="宋体" w:hAnsi="宋体"/>
          <w:bCs/>
          <w:color w:val="auto"/>
          <w:szCs w:val="21"/>
          <w:highlight w:val="none"/>
        </w:rPr>
        <w:t>指报告期当年企业作为第一专利权人获得的经国内外知识产权行政部门授权的专利件数。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当年授权发明专利</w:t>
      </w:r>
      <w:r>
        <w:rPr>
          <w:rFonts w:hint="eastAsia" w:ascii="宋体" w:hAnsi="宋体"/>
          <w:bCs/>
          <w:color w:val="auto"/>
          <w:szCs w:val="21"/>
          <w:highlight w:val="none"/>
        </w:rPr>
        <w:t>指报告期当年企业作为第一专利权人获得的经国内外专利行政部门授权的发明专利件数。</w:t>
      </w:r>
    </w:p>
    <w:p>
      <w:pPr>
        <w:widowControl/>
        <w:spacing w:line="400" w:lineRule="exact"/>
        <w:ind w:firstLine="420" w:firstLineChars="200"/>
        <w:jc w:val="left"/>
        <w:rPr>
          <w:rFonts w:ascii="宋体" w:hAnsi="宋体"/>
          <w:bCs/>
          <w:color w:val="auto"/>
          <w:szCs w:val="21"/>
          <w:highlight w:val="none"/>
        </w:rPr>
      </w:pPr>
      <w:r>
        <w:rPr>
          <w:rFonts w:ascii="Times New Roman" w:hAnsi="Times New Roman" w:eastAsia="黑体"/>
          <w:bCs/>
          <w:color w:val="auto"/>
          <w:szCs w:val="21"/>
          <w:highlight w:val="none"/>
        </w:rPr>
        <w:t>当年授权国内发明专利</w:t>
      </w:r>
      <w:r>
        <w:rPr>
          <w:rFonts w:hint="eastAsia" w:ascii="宋体" w:hAnsi="宋体"/>
          <w:bCs/>
          <w:color w:val="auto"/>
          <w:szCs w:val="21"/>
          <w:highlight w:val="none"/>
        </w:rPr>
        <w:t>指报告期当年企业作为第一专利权人获得我国专利机构授权的发明专利件数。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当年授权欧美日专利</w:t>
      </w:r>
      <w:r>
        <w:rPr>
          <w:rFonts w:hint="eastAsia" w:ascii="宋体" w:hAnsi="宋体" w:eastAsia="宋体"/>
          <w:bCs/>
          <w:color w:val="auto"/>
          <w:szCs w:val="21"/>
          <w:highlight w:val="none"/>
        </w:rPr>
        <w:t>指</w:t>
      </w:r>
      <w:r>
        <w:rPr>
          <w:rFonts w:hint="eastAsia" w:ascii="宋体" w:hAnsi="宋体"/>
          <w:bCs/>
          <w:color w:val="auto"/>
          <w:szCs w:val="21"/>
          <w:highlight w:val="none"/>
        </w:rPr>
        <w:t>报告期当年企业作为第一专利权人针对同一项专利申请，分别获得欧洲知识产权局、美国商标与专利管理局和日本特许厅批准授权的专利件数。同一专利获得三方授权按</w:t>
      </w:r>
      <w:r>
        <w:rPr>
          <w:rFonts w:ascii="宋体" w:hAnsi="宋体"/>
          <w:bCs/>
          <w:color w:val="auto"/>
          <w:szCs w:val="21"/>
          <w:highlight w:val="none"/>
        </w:rPr>
        <w:t>1件计。</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期末拥有有效专利</w:t>
      </w:r>
      <w:r>
        <w:rPr>
          <w:rFonts w:ascii="Times New Roman" w:hAnsi="Times New Roman"/>
          <w:bCs/>
          <w:color w:val="auto"/>
          <w:szCs w:val="21"/>
          <w:highlight w:val="none"/>
        </w:rPr>
        <w:t>指报告期末企业作为第一专利权人拥有的、经境内外知识产权行政部门授权且在有效期内的专利件数。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拥有境外授权的有效专利</w:t>
      </w:r>
      <w:r>
        <w:rPr>
          <w:rFonts w:ascii="Times New Roman" w:hAnsi="Times New Roman"/>
          <w:bCs/>
          <w:color w:val="auto"/>
          <w:szCs w:val="21"/>
          <w:highlight w:val="none"/>
        </w:rPr>
        <w:t>指报告期末企业作为第一专利权人拥有的、经国外及港澳台知识产权行政部门授予且在有效期内的专利件数。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拥有欧美日专利</w:t>
      </w:r>
      <w:r>
        <w:rPr>
          <w:rFonts w:ascii="Times New Roman" w:hAnsi="Times New Roman"/>
          <w:bCs/>
          <w:color w:val="auto"/>
          <w:szCs w:val="21"/>
          <w:highlight w:val="none"/>
        </w:rPr>
        <w:t>指报告期末企业作为第一专利权人拥有的、针对同一项专利，分别获得欧洲、美国、日本知识产权行政部门授权且在有效期内的专利件数。同一专利获得三方授权按1件计。</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拥有有效发明专利</w:t>
      </w:r>
      <w:r>
        <w:rPr>
          <w:rFonts w:ascii="Times New Roman" w:hAnsi="Times New Roman"/>
          <w:bCs/>
          <w:color w:val="auto"/>
          <w:szCs w:val="21"/>
          <w:highlight w:val="none"/>
        </w:rPr>
        <w:t>指报告期末企业作为第一专利权人拥有的、经境内外知识产权行政部门授权且在有效期内的发明专利件数。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拥有境外授权的有效发明专利</w:t>
      </w:r>
      <w:r>
        <w:rPr>
          <w:rFonts w:ascii="Times New Roman" w:hAnsi="Times New Roman"/>
          <w:bCs/>
          <w:color w:val="auto"/>
          <w:szCs w:val="21"/>
          <w:highlight w:val="none"/>
        </w:rPr>
        <w:t>指报告期末企业作为第一专利权人拥有的、经国外或港澳台知识产权行政部门授予且在有效期内的发明专利件数。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专利所有权转让及许可</w:t>
      </w:r>
      <w:r>
        <w:rPr>
          <w:rFonts w:ascii="Times New Roman" w:hAnsi="Times New Roman"/>
          <w:bCs/>
          <w:color w:val="auto"/>
          <w:szCs w:val="21"/>
          <w:highlight w:val="none"/>
        </w:rPr>
        <w:t>指报告期内企业向外单位转让专利所有权或允许专利技术由被许可单位使用的专利件数。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专利所有权转让及许可收入</w:t>
      </w:r>
      <w:r>
        <w:rPr>
          <w:rFonts w:ascii="Times New Roman" w:hAnsi="Times New Roman"/>
          <w:bCs/>
          <w:color w:val="auto"/>
          <w:szCs w:val="21"/>
          <w:highlight w:val="none"/>
        </w:rPr>
        <w:t>指报告期内企业向外单位转让专利所有权或允许专利技术由被许可单位使用而得到的收入，包括当年从被转让方或被许可方得到的一次性付款和分期付款收入，以及利润分成、股息收入等。</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新产品产值</w:t>
      </w:r>
      <w:r>
        <w:rPr>
          <w:rFonts w:ascii="Times New Roman" w:hAnsi="Times New Roman"/>
          <w:bCs/>
          <w:color w:val="auto"/>
          <w:szCs w:val="21"/>
          <w:highlight w:val="none"/>
        </w:rPr>
        <w:t>指报告期内企业生产的新产品的产值。新产品是指采用新技术原理、新设计构思研制、生产的全新产品，或在结构、材质、工艺等某一方面比原有产品有明显改进，从而显著提高了产品性能或扩大了使用功能的产品。新产品既包括经政府有关部门认定并在有效期内的新产品，也包括企业自行研制开发，未经政府有关部门认定，从投产之日起</w:t>
      </w:r>
      <w:r>
        <w:rPr>
          <w:rFonts w:hint="eastAsia" w:ascii="Times New Roman" w:hAnsi="Times New Roman"/>
          <w:bCs/>
          <w:color w:val="auto"/>
          <w:szCs w:val="21"/>
          <w:highlight w:val="none"/>
          <w:lang w:eastAsia="zh-CN"/>
        </w:rPr>
        <w:t>两</w:t>
      </w:r>
      <w:r>
        <w:rPr>
          <w:rFonts w:ascii="Times New Roman" w:hAnsi="Times New Roman"/>
          <w:bCs/>
          <w:color w:val="auto"/>
          <w:szCs w:val="21"/>
          <w:highlight w:val="none"/>
        </w:rPr>
        <w:t>年之内的新产品。</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新产品销售收入</w:t>
      </w:r>
      <w:r>
        <w:rPr>
          <w:rFonts w:hint="eastAsia" w:ascii="Times New Roman" w:hAnsi="Times New Roman"/>
          <w:bCs/>
          <w:color w:val="auto"/>
          <w:szCs w:val="21"/>
          <w:highlight w:val="none"/>
        </w:rPr>
        <w:t>指报告期内企业销售新产品实现的销售收入。</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新产品销售收入中出口</w:t>
      </w:r>
      <w:r>
        <w:rPr>
          <w:rFonts w:hint="eastAsia" w:ascii="Times New Roman" w:hAnsi="Times New Roman"/>
          <w:bCs/>
          <w:color w:val="auto"/>
          <w:szCs w:val="21"/>
          <w:highlight w:val="none"/>
        </w:rPr>
        <w:t>指报告期内企业将新产品销售给外贸部门和直接出售给外商所实现的销售收入。</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发表科技论文</w:t>
      </w:r>
      <w:r>
        <w:rPr>
          <w:rFonts w:hint="eastAsia" w:ascii="Times New Roman" w:hAnsi="Times New Roman"/>
          <w:bCs/>
          <w:color w:val="auto"/>
          <w:szCs w:val="21"/>
          <w:highlight w:val="none"/>
        </w:rPr>
        <w:t>指报告期内企业立项的研究开发项目产生的、并在有正规刊号的刊物上发表的科技论文数量。</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期末拥有注册商标</w:t>
      </w:r>
      <w:r>
        <w:rPr>
          <w:rFonts w:ascii="Times New Roman" w:hAnsi="Times New Roman"/>
          <w:bCs/>
          <w:color w:val="auto"/>
          <w:szCs w:val="21"/>
          <w:highlight w:val="none"/>
        </w:rPr>
        <w:t>指报告期末企业作为第一商标注册人拥有的，经境内外商标行政部门核准注册且在有效期内的商标件数。包括在境内和境外注册的商标件数，同一件商标在境内外同时注册时按一件计。</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当年注册商标</w:t>
      </w:r>
      <w:r>
        <w:rPr>
          <w:rFonts w:hint="eastAsia" w:ascii="宋体" w:hAnsi="宋体"/>
          <w:bCs/>
          <w:color w:val="auto"/>
          <w:szCs w:val="21"/>
          <w:highlight w:val="none"/>
        </w:rPr>
        <w:t>指报告期当年企业作为第一商标注册人获得境内外商标行政部门核准注册的商标件数。同一商标在不同地区同时注册按一件计。</w:t>
      </w:r>
    </w:p>
    <w:p>
      <w:pPr>
        <w:widowControl/>
        <w:spacing w:line="400" w:lineRule="exact"/>
        <w:ind w:firstLine="415" w:firstLineChars="198"/>
        <w:jc w:val="left"/>
        <w:rPr>
          <w:rFonts w:ascii="Times New Roman" w:hAnsi="Times New Roman"/>
          <w:bCs/>
          <w:color w:val="auto"/>
          <w:szCs w:val="21"/>
          <w:highlight w:val="none"/>
        </w:rPr>
      </w:pPr>
      <w:r>
        <w:rPr>
          <w:rFonts w:ascii="Times New Roman" w:hAnsi="Times New Roman" w:eastAsia="黑体"/>
          <w:bCs/>
          <w:color w:val="auto"/>
          <w:szCs w:val="21"/>
          <w:highlight w:val="none"/>
        </w:rPr>
        <w:t>境外注册商标</w:t>
      </w:r>
      <w:r>
        <w:rPr>
          <w:rFonts w:hint="eastAsia" w:ascii="宋体" w:hAnsi="宋体"/>
          <w:bCs/>
          <w:color w:val="auto"/>
          <w:szCs w:val="21"/>
          <w:highlight w:val="none"/>
        </w:rPr>
        <w:t>指报告期末企业作为第一商标注册人拥有的，经国外或港澳台商标行政部门核准注册且在有效期内的商标件数。</w:t>
      </w:r>
    </w:p>
    <w:p>
      <w:pPr>
        <w:widowControl/>
        <w:spacing w:line="400" w:lineRule="exact"/>
        <w:ind w:firstLine="415" w:firstLineChars="198"/>
        <w:jc w:val="left"/>
        <w:rPr>
          <w:rFonts w:ascii="Times New Roman" w:hAnsi="Times New Roman"/>
          <w:bCs/>
          <w:color w:val="auto"/>
          <w:szCs w:val="21"/>
          <w:highlight w:val="none"/>
        </w:rPr>
      </w:pPr>
      <w:r>
        <w:rPr>
          <w:rFonts w:ascii="Times New Roman" w:hAnsi="Times New Roman" w:eastAsia="黑体"/>
          <w:bCs/>
          <w:color w:val="auto"/>
          <w:szCs w:val="21"/>
          <w:highlight w:val="none"/>
        </w:rPr>
        <w:t>当年境外注册商标</w:t>
      </w:r>
      <w:r>
        <w:rPr>
          <w:rFonts w:ascii="Times New Roman" w:hAnsi="Times New Roman"/>
          <w:bCs/>
          <w:color w:val="auto"/>
          <w:szCs w:val="21"/>
          <w:highlight w:val="none"/>
        </w:rPr>
        <w:t>指报告期当年企业作为第一商标注册人拥有的，经国外或港澳台商标行政部门核准注册且在有效期内的商标件数。</w:t>
      </w:r>
    </w:p>
    <w:p>
      <w:pPr>
        <w:widowControl/>
        <w:spacing w:line="400" w:lineRule="exact"/>
        <w:ind w:firstLine="415" w:firstLineChars="198"/>
        <w:jc w:val="left"/>
        <w:rPr>
          <w:rFonts w:ascii="Times New Roman" w:hAnsi="Times New Roman"/>
          <w:bCs/>
          <w:color w:val="auto"/>
          <w:spacing w:val="-4"/>
          <w:szCs w:val="21"/>
          <w:highlight w:val="none"/>
        </w:rPr>
      </w:pPr>
      <w:r>
        <w:rPr>
          <w:rFonts w:ascii="Times New Roman" w:hAnsi="Times New Roman" w:eastAsia="黑体"/>
          <w:bCs/>
          <w:color w:val="auto"/>
          <w:szCs w:val="21"/>
          <w:highlight w:val="none"/>
        </w:rPr>
        <w:t>拥有软件著作权</w:t>
      </w:r>
      <w:r>
        <w:rPr>
          <w:rFonts w:hint="eastAsia" w:ascii="宋体" w:hAnsi="宋体"/>
          <w:bCs/>
          <w:color w:val="auto"/>
          <w:szCs w:val="21"/>
          <w:highlight w:val="none"/>
        </w:rPr>
        <w:t>指在报告期末企业作为第一权利人拥有的，经国务院知识产权行政部门按照《中华人民共和国计算机软件保护条例》对计算机程序和文档授予的且在有效期内的著作权数量。</w:t>
      </w:r>
    </w:p>
    <w:p>
      <w:pPr>
        <w:widowControl/>
        <w:spacing w:line="400" w:lineRule="exact"/>
        <w:ind w:firstLine="415" w:firstLineChars="198"/>
        <w:jc w:val="left"/>
        <w:rPr>
          <w:rFonts w:ascii="Times New Roman" w:hAnsi="Times New Roman"/>
          <w:bCs/>
          <w:color w:val="auto"/>
          <w:spacing w:val="-4"/>
          <w:szCs w:val="21"/>
          <w:highlight w:val="none"/>
        </w:rPr>
      </w:pPr>
      <w:r>
        <w:rPr>
          <w:rFonts w:ascii="Times New Roman" w:hAnsi="Times New Roman" w:eastAsia="黑体"/>
          <w:bCs/>
          <w:color w:val="auto"/>
          <w:szCs w:val="21"/>
          <w:highlight w:val="none"/>
        </w:rPr>
        <w:t>当年获得软件著作权</w:t>
      </w:r>
      <w:r>
        <w:rPr>
          <w:rFonts w:hint="eastAsia" w:ascii="宋体" w:hAnsi="宋体"/>
          <w:bCs/>
          <w:color w:val="auto"/>
          <w:szCs w:val="21"/>
          <w:highlight w:val="none"/>
        </w:rPr>
        <w:t>指</w:t>
      </w:r>
      <w:r>
        <w:rPr>
          <w:rFonts w:ascii="宋体" w:hAnsi="宋体"/>
          <w:bCs/>
          <w:color w:val="auto"/>
          <w:szCs w:val="21"/>
          <w:highlight w:val="none"/>
        </w:rPr>
        <w:t>报告期</w:t>
      </w:r>
      <w:r>
        <w:rPr>
          <w:rFonts w:hint="eastAsia" w:ascii="宋体" w:hAnsi="宋体"/>
          <w:bCs/>
          <w:color w:val="auto"/>
          <w:szCs w:val="21"/>
          <w:highlight w:val="none"/>
        </w:rPr>
        <w:t>当年</w:t>
      </w:r>
      <w:r>
        <w:rPr>
          <w:rFonts w:ascii="宋体" w:hAnsi="宋体"/>
          <w:bCs/>
          <w:color w:val="auto"/>
          <w:szCs w:val="21"/>
          <w:highlight w:val="none"/>
        </w:rPr>
        <w:t>新获得的软件著作权数量。</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拥有集成电路布图设计</w:t>
      </w:r>
      <w:r>
        <w:rPr>
          <w:rFonts w:ascii="Times New Roman" w:hAnsi="Times New Roman"/>
          <w:bCs/>
          <w:color w:val="auto"/>
          <w:szCs w:val="21"/>
          <w:highlight w:val="none"/>
        </w:rPr>
        <w:t>指</w:t>
      </w:r>
      <w:r>
        <w:rPr>
          <w:rFonts w:ascii="Times New Roman" w:hAnsi="Times New Roman"/>
          <w:bCs/>
          <w:color w:val="auto"/>
          <w:spacing w:val="-4"/>
          <w:szCs w:val="21"/>
          <w:highlight w:val="none"/>
        </w:rPr>
        <w:t>在报告期末企业</w:t>
      </w:r>
      <w:r>
        <w:rPr>
          <w:rFonts w:ascii="Times New Roman" w:hAnsi="Times New Roman"/>
          <w:bCs/>
          <w:color w:val="auto"/>
          <w:szCs w:val="21"/>
          <w:highlight w:val="none"/>
        </w:rPr>
        <w:t>作为第一权利人</w:t>
      </w:r>
      <w:r>
        <w:rPr>
          <w:rFonts w:ascii="Times New Roman" w:hAnsi="Times New Roman"/>
          <w:bCs/>
          <w:color w:val="auto"/>
          <w:spacing w:val="-4"/>
          <w:szCs w:val="21"/>
          <w:highlight w:val="none"/>
        </w:rPr>
        <w:t>拥有的，且在有效期内的，</w:t>
      </w:r>
      <w:r>
        <w:rPr>
          <w:rFonts w:ascii="Times New Roman" w:hAnsi="Times New Roman"/>
          <w:bCs/>
          <w:color w:val="auto"/>
          <w:szCs w:val="21"/>
          <w:highlight w:val="none"/>
        </w:rPr>
        <w:t>由国务院知识产权行政部门按照《中华人民共和国集成电路布图设计保护条例》授予的对集成电路中至少有一个是有源元件的两个以上元件和部分或者全部互连线路的三维配置，或者为制造集成电路而准备的上述三维配置的布图专有权数量。</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当年获得集成电路布图设计权数量</w:t>
      </w:r>
      <w:r>
        <w:rPr>
          <w:rFonts w:hint="eastAsia" w:ascii="宋体" w:hAnsi="宋体" w:eastAsia="宋体"/>
          <w:bCs/>
          <w:color w:val="auto"/>
          <w:szCs w:val="21"/>
          <w:highlight w:val="none"/>
        </w:rPr>
        <w:t>指</w:t>
      </w:r>
      <w:r>
        <w:rPr>
          <w:rFonts w:hint="eastAsia" w:ascii="宋体" w:hAnsi="宋体"/>
          <w:bCs/>
          <w:color w:val="auto"/>
          <w:szCs w:val="21"/>
          <w:highlight w:val="none"/>
        </w:rPr>
        <w:t>报告期当年新获得的集成电路布图设计权数量。</w:t>
      </w:r>
    </w:p>
    <w:p>
      <w:pPr>
        <w:widowControl/>
        <w:spacing w:line="400" w:lineRule="exact"/>
        <w:ind w:firstLine="420" w:firstLineChars="200"/>
        <w:jc w:val="left"/>
        <w:rPr>
          <w:rFonts w:ascii="宋体" w:hAnsi="宋体"/>
          <w:bCs/>
          <w:color w:val="auto"/>
          <w:szCs w:val="21"/>
          <w:highlight w:val="none"/>
        </w:rPr>
      </w:pPr>
      <w:r>
        <w:rPr>
          <w:rFonts w:ascii="Times New Roman" w:hAnsi="Times New Roman" w:eastAsia="黑体"/>
          <w:bCs/>
          <w:color w:val="auto"/>
          <w:szCs w:val="21"/>
          <w:highlight w:val="none"/>
        </w:rPr>
        <w:t>拥有植物新品种</w:t>
      </w:r>
      <w:r>
        <w:rPr>
          <w:rFonts w:hint="eastAsia" w:ascii="宋体" w:hAnsi="宋体"/>
          <w:bCs/>
          <w:color w:val="auto"/>
          <w:szCs w:val="21"/>
          <w:highlight w:val="none"/>
        </w:rPr>
        <w:t>指在报告期末企业作为第一权利人拥有的，且在有效期内的，由国务院农业或林业行政部门按照《中华人民共和国植物新品种保护条例》授予的经过人工培育的或者对发现的野生植物加以开发，具备新颖性、特异性、一致性和稳定性并有适当命名的植物新品种权。</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拥有国家一类新药证书数量</w:t>
      </w:r>
      <w:r>
        <w:rPr>
          <w:rFonts w:hint="eastAsia" w:ascii="宋体" w:hAnsi="宋体"/>
          <w:bCs/>
          <w:color w:val="auto"/>
          <w:szCs w:val="21"/>
          <w:highlight w:val="none"/>
        </w:rPr>
        <w:t>指在报告期末企业作为权利人拥有的，且在有效期内的国家一类新药品种证书的国家一类新药数量。</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国家一类新药</w:t>
      </w:r>
      <w:r>
        <w:rPr>
          <w:rFonts w:ascii="Times New Roman" w:hAnsi="Times New Roman"/>
          <w:bCs/>
          <w:color w:val="auto"/>
          <w:szCs w:val="21"/>
          <w:highlight w:val="none"/>
        </w:rPr>
        <w:t>指按照2007年颁布的《药品注册管理办法》（国家食品药品监督管理局28号令）或国家食品药品监督管理局出台的其它最新政策文件中规定的一类新药。</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当年获得国家一类新药证书</w:t>
      </w:r>
      <w:r>
        <w:rPr>
          <w:rFonts w:ascii="Times New Roman" w:hAnsi="Times New Roman"/>
          <w:bCs/>
          <w:color w:val="auto"/>
          <w:szCs w:val="21"/>
          <w:highlight w:val="none"/>
        </w:rPr>
        <w:t>填报告期当年企业新获得的国家一类新药证书数量。</w:t>
      </w:r>
    </w:p>
    <w:p>
      <w:pPr>
        <w:widowControl/>
        <w:spacing w:line="400" w:lineRule="exact"/>
        <w:ind w:firstLine="420" w:firstLineChars="200"/>
        <w:jc w:val="left"/>
        <w:rPr>
          <w:rFonts w:ascii="Times New Roman" w:hAnsi="Times New Roman"/>
          <w:bCs/>
          <w:color w:val="auto"/>
          <w:szCs w:val="24"/>
          <w:highlight w:val="none"/>
        </w:rPr>
      </w:pPr>
      <w:r>
        <w:rPr>
          <w:rFonts w:ascii="Times New Roman" w:hAnsi="Times New Roman" w:eastAsia="黑体"/>
          <w:bCs/>
          <w:color w:val="auto"/>
          <w:szCs w:val="21"/>
          <w:highlight w:val="none"/>
        </w:rPr>
        <w:t>拥有国家一级中药保护品种</w:t>
      </w:r>
      <w:r>
        <w:rPr>
          <w:rFonts w:ascii="Times New Roman" w:hAnsi="Times New Roman"/>
          <w:bCs/>
          <w:color w:val="auto"/>
          <w:szCs w:val="21"/>
          <w:highlight w:val="none"/>
        </w:rPr>
        <w:t>指在报告期末企业作为权利人拥有的国家一级《中药保护品种证书》的一级中药数量。中药保护品种是按照《中药品种保护条例》中有关规定，经申请评审后，获得国务院卫生行政部门批准保护的中药品种。受保护的一级中药品种包括对特定疾病有特殊疗效的；相当于国家一级保护野生药材物种的人工制成品；用于预防和治疗特殊疾病的中药品种。</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当年获得国家一级中药保护品种证书</w:t>
      </w:r>
      <w:r>
        <w:rPr>
          <w:rFonts w:hint="eastAsia" w:ascii="宋体" w:hAnsi="宋体" w:eastAsia="宋体"/>
          <w:bCs/>
          <w:color w:val="auto"/>
          <w:szCs w:val="21"/>
          <w:highlight w:val="none"/>
        </w:rPr>
        <w:t>指</w:t>
      </w:r>
      <w:r>
        <w:rPr>
          <w:rFonts w:hint="eastAsia" w:ascii="宋体" w:hAnsi="宋体"/>
          <w:bCs/>
          <w:color w:val="auto"/>
          <w:szCs w:val="21"/>
          <w:highlight w:val="none"/>
        </w:rPr>
        <w:t>报告期当年企业新获得的国家一类新药证书数量。</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累计形成国际标准</w:t>
      </w:r>
      <w:r>
        <w:rPr>
          <w:rFonts w:hint="eastAsia" w:ascii="宋体" w:hAnsi="宋体"/>
          <w:bCs/>
          <w:color w:val="auto"/>
          <w:szCs w:val="21"/>
          <w:highlight w:val="none"/>
        </w:rPr>
        <w:t>指截至报告期末企业主导制定形成的</w:t>
      </w:r>
      <w:r>
        <w:rPr>
          <w:rFonts w:ascii="Times New Roman" w:hAnsi="Times New Roman"/>
          <w:bCs/>
          <w:color w:val="auto"/>
          <w:szCs w:val="21"/>
          <w:highlight w:val="none"/>
        </w:rPr>
        <w:t>国际标准数。国际标准是指</w:t>
      </w:r>
      <w:r>
        <w:rPr>
          <w:color w:val="auto"/>
          <w:highlight w:val="none"/>
        </w:rPr>
        <w:fldChar w:fldCharType="begin"/>
      </w:r>
      <w:r>
        <w:rPr>
          <w:color w:val="auto"/>
          <w:highlight w:val="none"/>
        </w:rPr>
        <w:instrText xml:space="preserve"> HYPERLINK "http://baike.baidu.com/view/42488.htm" \t "_blank" </w:instrText>
      </w:r>
      <w:r>
        <w:rPr>
          <w:color w:val="auto"/>
          <w:highlight w:val="none"/>
        </w:rPr>
        <w:fldChar w:fldCharType="separate"/>
      </w:r>
      <w:r>
        <w:rPr>
          <w:rFonts w:ascii="Times New Roman" w:hAnsi="Times New Roman"/>
          <w:bCs/>
          <w:color w:val="auto"/>
          <w:szCs w:val="21"/>
          <w:highlight w:val="none"/>
        </w:rPr>
        <w:t>国际标准化组织</w:t>
      </w:r>
      <w:r>
        <w:rPr>
          <w:rFonts w:ascii="Times New Roman" w:hAnsi="Times New Roman"/>
          <w:bCs/>
          <w:color w:val="auto"/>
          <w:szCs w:val="21"/>
          <w:highlight w:val="none"/>
        </w:rPr>
        <w:fldChar w:fldCharType="end"/>
      </w:r>
      <w:r>
        <w:rPr>
          <w:rFonts w:ascii="Times New Roman" w:hAnsi="Times New Roman"/>
          <w:bCs/>
          <w:color w:val="auto"/>
          <w:szCs w:val="21"/>
          <w:highlight w:val="none"/>
        </w:rPr>
        <w:t>（ISO）、</w:t>
      </w:r>
      <w:r>
        <w:rPr>
          <w:color w:val="auto"/>
          <w:highlight w:val="none"/>
        </w:rPr>
        <w:fldChar w:fldCharType="begin"/>
      </w:r>
      <w:r>
        <w:rPr>
          <w:color w:val="auto"/>
          <w:highlight w:val="none"/>
        </w:rPr>
        <w:instrText xml:space="preserve"> HYPERLINK "http://baike.baidu.com/view/159311.htm" \t "_blank" </w:instrText>
      </w:r>
      <w:r>
        <w:rPr>
          <w:color w:val="auto"/>
          <w:highlight w:val="none"/>
        </w:rPr>
        <w:fldChar w:fldCharType="separate"/>
      </w:r>
      <w:r>
        <w:rPr>
          <w:rFonts w:ascii="Times New Roman" w:hAnsi="Times New Roman"/>
          <w:bCs/>
          <w:color w:val="auto"/>
          <w:szCs w:val="21"/>
          <w:highlight w:val="none"/>
        </w:rPr>
        <w:t>国际电工委员会</w:t>
      </w:r>
      <w:r>
        <w:rPr>
          <w:rFonts w:ascii="Times New Roman" w:hAnsi="Times New Roman"/>
          <w:bCs/>
          <w:color w:val="auto"/>
          <w:szCs w:val="21"/>
          <w:highlight w:val="none"/>
        </w:rPr>
        <w:fldChar w:fldCharType="end"/>
      </w:r>
      <w:r>
        <w:rPr>
          <w:rFonts w:ascii="Times New Roman" w:hAnsi="Times New Roman"/>
          <w:bCs/>
          <w:color w:val="auto"/>
          <w:szCs w:val="21"/>
          <w:highlight w:val="none"/>
        </w:rPr>
        <w:t>（IEC）和国际电信联盟（ITU）制</w:t>
      </w:r>
      <w:r>
        <w:rPr>
          <w:rFonts w:ascii="宋体" w:hAnsi="宋体"/>
          <w:bCs/>
          <w:color w:val="auto"/>
          <w:szCs w:val="21"/>
          <w:highlight w:val="none"/>
        </w:rPr>
        <w:t>定的标准，以及国际标准化组织确认并公布的其他国际组织制定的标准</w:t>
      </w:r>
      <w:r>
        <w:rPr>
          <w:rFonts w:hint="eastAsia" w:ascii="宋体" w:hAnsi="宋体"/>
          <w:bCs/>
          <w:color w:val="auto"/>
          <w:szCs w:val="21"/>
          <w:highlight w:val="none"/>
        </w:rPr>
        <w:t>，</w:t>
      </w:r>
      <w:r>
        <w:rPr>
          <w:rFonts w:ascii="宋体" w:hAnsi="宋体"/>
          <w:bCs/>
          <w:color w:val="auto"/>
          <w:szCs w:val="21"/>
          <w:highlight w:val="none"/>
        </w:rPr>
        <w:t>在世界范围内统一使用。</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当年形成国际标准</w:t>
      </w:r>
      <w:r>
        <w:rPr>
          <w:rFonts w:hint="eastAsia" w:ascii="宋体" w:hAnsi="宋体"/>
          <w:bCs/>
          <w:color w:val="auto"/>
          <w:szCs w:val="21"/>
          <w:highlight w:val="none"/>
        </w:rPr>
        <w:t>指报告期当年企业主导制定形成的国际标准数。</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累计形成国家或行业标准</w:t>
      </w:r>
      <w:r>
        <w:rPr>
          <w:rFonts w:hint="eastAsia" w:ascii="宋体" w:hAnsi="宋体"/>
          <w:bCs/>
          <w:color w:val="auto"/>
          <w:szCs w:val="21"/>
          <w:highlight w:val="none"/>
        </w:rPr>
        <w:t>指截至报告期末企业在自主研发或自主知识产权基础上形成的经有关部门批准的国家或行业标准项数。国家标准是指由国家标准化主管机构批准发布，对全国经济、技术发展有重大意义，且在全国范围内统一的标准。行业标准由行业标准归口部门编制计划、审批、编号、发布、管理。</w:t>
      </w:r>
      <w:r>
        <w:rPr>
          <w:color w:val="auto"/>
          <w:highlight w:val="none"/>
        </w:rPr>
        <w:fldChar w:fldCharType="begin"/>
      </w:r>
      <w:r>
        <w:rPr>
          <w:color w:val="auto"/>
          <w:highlight w:val="none"/>
        </w:rPr>
        <w:instrText xml:space="preserve"> HYPERLINK "http://www.farrali.net/post/2004-motor-standard.html" </w:instrText>
      </w:r>
      <w:r>
        <w:rPr>
          <w:color w:val="auto"/>
          <w:highlight w:val="none"/>
        </w:rPr>
        <w:fldChar w:fldCharType="separate"/>
      </w:r>
      <w:r>
        <w:rPr>
          <w:rFonts w:hint="eastAsia" w:ascii="宋体" w:hAnsi="宋体"/>
          <w:bCs/>
          <w:color w:val="auto"/>
          <w:szCs w:val="21"/>
          <w:highlight w:val="none"/>
        </w:rPr>
        <w:t>行业标准</w:t>
      </w:r>
      <w:r>
        <w:rPr>
          <w:rFonts w:hint="eastAsia" w:ascii="宋体" w:hAnsi="宋体"/>
          <w:bCs/>
          <w:color w:val="auto"/>
          <w:szCs w:val="21"/>
          <w:highlight w:val="none"/>
        </w:rPr>
        <w:fldChar w:fldCharType="end"/>
      </w:r>
      <w:r>
        <w:rPr>
          <w:rFonts w:hint="eastAsia" w:ascii="宋体" w:hAnsi="宋体"/>
          <w:bCs/>
          <w:color w:val="auto"/>
          <w:szCs w:val="21"/>
          <w:highlight w:val="none"/>
        </w:rPr>
        <w:t>的归口部门及其所管理的行业标准范围，由国务院行政主管部门审定。对没有国家标准又需要在全国某个行业范围内统一的技术要求，可以制定</w:t>
      </w:r>
      <w:r>
        <w:rPr>
          <w:color w:val="auto"/>
          <w:highlight w:val="none"/>
        </w:rPr>
        <w:fldChar w:fldCharType="begin"/>
      </w:r>
      <w:r>
        <w:rPr>
          <w:color w:val="auto"/>
          <w:highlight w:val="none"/>
        </w:rPr>
        <w:instrText xml:space="preserve"> HYPERLINK "http://www.farrali.net/post/motor-jb-standard.html" </w:instrText>
      </w:r>
      <w:r>
        <w:rPr>
          <w:color w:val="auto"/>
          <w:highlight w:val="none"/>
        </w:rPr>
        <w:fldChar w:fldCharType="separate"/>
      </w:r>
      <w:r>
        <w:rPr>
          <w:rFonts w:hint="eastAsia" w:ascii="宋体" w:hAnsi="宋体"/>
          <w:bCs/>
          <w:color w:val="auto"/>
          <w:szCs w:val="21"/>
          <w:highlight w:val="none"/>
        </w:rPr>
        <w:t>行业标准</w:t>
      </w:r>
      <w:r>
        <w:rPr>
          <w:rFonts w:hint="eastAsia" w:ascii="宋体" w:hAnsi="宋体"/>
          <w:bCs/>
          <w:color w:val="auto"/>
          <w:szCs w:val="21"/>
          <w:highlight w:val="none"/>
        </w:rPr>
        <w:fldChar w:fldCharType="end"/>
      </w:r>
      <w:r>
        <w:rPr>
          <w:rFonts w:hint="eastAsia" w:ascii="宋体" w:hAnsi="宋体"/>
          <w:bCs/>
          <w:color w:val="auto"/>
          <w:szCs w:val="21"/>
          <w:highlight w:val="none"/>
        </w:rPr>
        <w:t>，是专业性、技术性较强的标准。作为对国家标准的补充，当相应的国家标准实施后，该行业标准应自行废止。</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当年形成国家或行业标准</w:t>
      </w:r>
      <w:r>
        <w:rPr>
          <w:rFonts w:hint="eastAsia" w:ascii="宋体" w:hAnsi="宋体"/>
          <w:bCs/>
          <w:color w:val="auto"/>
          <w:szCs w:val="21"/>
          <w:highlight w:val="none"/>
        </w:rPr>
        <w:t>指报告期内企业在自主研究开发或自主知识产权基础上形成的经有关部门批准的国家或行业标准项数。</w:t>
      </w:r>
    </w:p>
    <w:p>
      <w:pPr>
        <w:widowControl/>
        <w:spacing w:line="400" w:lineRule="exact"/>
        <w:ind w:firstLine="420"/>
        <w:jc w:val="left"/>
        <w:rPr>
          <w:rFonts w:hint="default"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近两年承担建设</w:t>
      </w:r>
      <w:r>
        <w:rPr>
          <w:rFonts w:hint="default" w:ascii="Times New Roman" w:hAnsi="Times New Roman" w:eastAsia="黑体" w:cs="Times New Roman"/>
          <w:bCs/>
          <w:color w:val="auto"/>
          <w:szCs w:val="21"/>
          <w:highlight w:val="none"/>
          <w:lang w:val="en-US" w:eastAsia="zh-CN"/>
        </w:rPr>
        <w:t>省级及以上研发或创新平台</w:t>
      </w:r>
      <w:r>
        <w:rPr>
          <w:rFonts w:hint="eastAsia" w:ascii="Times New Roman" w:hAnsi="Times New Roman" w:eastAsia="黑体" w:cs="Times New Roman"/>
          <w:bCs/>
          <w:color w:val="auto"/>
          <w:szCs w:val="21"/>
          <w:highlight w:val="none"/>
          <w:lang w:val="en-US" w:eastAsia="zh-CN"/>
        </w:rPr>
        <w:t>数量</w:t>
      </w:r>
      <w:r>
        <w:rPr>
          <w:rFonts w:hint="eastAsia" w:ascii="宋体" w:hAnsi="宋体" w:eastAsia="宋体" w:cs="宋体"/>
          <w:bCs/>
          <w:color w:val="auto"/>
          <w:szCs w:val="21"/>
          <w:highlight w:val="none"/>
          <w:lang w:val="en-US" w:eastAsia="zh-CN"/>
        </w:rPr>
        <w:t>指企业近两年获批的省级及以上重点实验室、工程中心等</w:t>
      </w:r>
      <w:r>
        <w:rPr>
          <w:rFonts w:hint="eastAsia" w:ascii="宋体" w:hAnsi="宋体" w:eastAsia="宋体" w:cs="宋体"/>
          <w:bCs/>
          <w:i w:val="0"/>
          <w:iCs w:val="0"/>
          <w:caps w:val="0"/>
          <w:color w:val="auto"/>
          <w:spacing w:val="0"/>
          <w:sz w:val="21"/>
          <w:szCs w:val="21"/>
          <w:highlight w:val="none"/>
          <w:shd w:val="clear" w:color="auto" w:fill="auto"/>
          <w:lang w:val="en-US" w:eastAsia="zh-CN"/>
        </w:rPr>
        <w:t>。</w:t>
      </w:r>
    </w:p>
    <w:p>
      <w:pPr>
        <w:widowControl/>
        <w:spacing w:line="400" w:lineRule="exact"/>
        <w:ind w:firstLine="420"/>
        <w:jc w:val="left"/>
        <w:rPr>
          <w:rFonts w:hint="default"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近两年获得省级及以上科技奖励数量</w:t>
      </w:r>
      <w:r>
        <w:rPr>
          <w:rFonts w:hint="eastAsia" w:ascii="宋体" w:hAnsi="宋体" w:eastAsia="宋体" w:cs="宋体"/>
          <w:bCs/>
          <w:color w:val="auto"/>
          <w:szCs w:val="21"/>
          <w:highlight w:val="none"/>
          <w:lang w:val="en-US" w:eastAsia="zh-CN"/>
        </w:rPr>
        <w:t>指企业近两年作为第一单位获得的省级及以上科技奖励数量</w:t>
      </w:r>
      <w:r>
        <w:rPr>
          <w:rFonts w:hint="eastAsia" w:ascii="宋体" w:hAnsi="宋体" w:eastAsia="宋体" w:cs="宋体"/>
          <w:bCs/>
          <w:i w:val="0"/>
          <w:iCs w:val="0"/>
          <w:caps w:val="0"/>
          <w:color w:val="auto"/>
          <w:spacing w:val="0"/>
          <w:sz w:val="21"/>
          <w:szCs w:val="21"/>
          <w:highlight w:val="none"/>
          <w:shd w:val="clear" w:color="auto" w:fill="auto"/>
          <w:lang w:val="en-US" w:eastAsia="zh-CN"/>
        </w:rPr>
        <w:t>。</w:t>
      </w:r>
    </w:p>
    <w:p>
      <w:pPr>
        <w:widowControl/>
        <w:spacing w:line="400" w:lineRule="exact"/>
        <w:ind w:firstLine="420"/>
        <w:jc w:val="left"/>
        <w:rPr>
          <w:rFonts w:hint="eastAsia" w:ascii="宋体" w:hAnsi="宋体" w:eastAsia="宋体" w:cs="宋体"/>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近两年承担省级及以上科技计划项目数量</w:t>
      </w:r>
      <w:r>
        <w:rPr>
          <w:rFonts w:hint="eastAsia" w:ascii="宋体" w:hAnsi="宋体" w:eastAsia="宋体" w:cs="宋体"/>
          <w:bCs/>
          <w:color w:val="auto"/>
          <w:szCs w:val="21"/>
          <w:highlight w:val="none"/>
          <w:lang w:val="en-US" w:eastAsia="zh-CN"/>
        </w:rPr>
        <w:t>指企业近两年作为牵头单位承担的省级及以上科技计划项目数量（国家级科技计划项目可为项目或课题）</w:t>
      </w:r>
      <w:r>
        <w:rPr>
          <w:rFonts w:hint="eastAsia" w:ascii="宋体" w:hAnsi="宋体" w:eastAsia="宋体" w:cs="宋体"/>
          <w:bCs/>
          <w:i w:val="0"/>
          <w:iCs w:val="0"/>
          <w:caps w:val="0"/>
          <w:color w:val="auto"/>
          <w:spacing w:val="0"/>
          <w:sz w:val="21"/>
          <w:szCs w:val="21"/>
          <w:highlight w:val="none"/>
          <w:shd w:val="clear" w:color="auto" w:fill="auto"/>
          <w:lang w:val="en-US" w:eastAsia="zh-CN"/>
        </w:rPr>
        <w:t>。</w:t>
      </w:r>
    </w:p>
    <w:p>
      <w:pPr>
        <w:widowControl/>
        <w:spacing w:line="400" w:lineRule="exact"/>
        <w:ind w:firstLine="420" w:firstLineChars="200"/>
        <w:jc w:val="left"/>
        <w:rPr>
          <w:rFonts w:ascii="Times New Roman" w:hAnsi="Times New Roman"/>
          <w:color w:val="auto"/>
          <w:szCs w:val="21"/>
          <w:highlight w:val="none"/>
        </w:rPr>
      </w:pPr>
      <w:r>
        <w:rPr>
          <w:rFonts w:ascii="Times New Roman" w:hAnsi="Times New Roman" w:eastAsia="黑体"/>
          <w:bCs/>
          <w:color w:val="auto"/>
          <w:szCs w:val="21"/>
          <w:highlight w:val="none"/>
        </w:rPr>
        <w:t>认定登记的技术合同项数</w:t>
      </w:r>
      <w:r>
        <w:rPr>
          <w:rFonts w:ascii="Times New Roman" w:hAnsi="Times New Roman"/>
          <w:bCs/>
          <w:color w:val="auto"/>
          <w:szCs w:val="21"/>
          <w:highlight w:val="none"/>
        </w:rPr>
        <w:t>指报告期内企业在</w:t>
      </w:r>
      <w:r>
        <w:rPr>
          <w:rFonts w:hint="eastAsia" w:ascii="Times New Roman" w:hAnsi="Times New Roman"/>
          <w:bCs/>
          <w:color w:val="auto"/>
          <w:szCs w:val="21"/>
          <w:highlight w:val="none"/>
          <w:lang w:eastAsia="zh-CN"/>
        </w:rPr>
        <w:t>工业和信息化部</w:t>
      </w:r>
      <w:r>
        <w:rPr>
          <w:rFonts w:ascii="Times New Roman" w:hAnsi="Times New Roman"/>
          <w:bCs/>
          <w:color w:val="auto"/>
          <w:szCs w:val="21"/>
          <w:highlight w:val="none"/>
        </w:rPr>
        <w:t>进行认定登记的技术合同数量。</w:t>
      </w:r>
      <w:bookmarkStart w:id="40" w:name="_Hlk121748608"/>
      <w:r>
        <w:rPr>
          <w:rFonts w:ascii="Times New Roman" w:hAnsi="Times New Roman"/>
          <w:bCs/>
          <w:color w:val="auto"/>
          <w:szCs w:val="21"/>
          <w:highlight w:val="none"/>
        </w:rPr>
        <w:t>技术合同的类型包括5类：技术开发、技术转让、技术许可、技术咨询和技术服务。</w:t>
      </w:r>
      <w:bookmarkEnd w:id="40"/>
      <w:r>
        <w:rPr>
          <w:rFonts w:hint="eastAsia" w:ascii="Times New Roman" w:hAnsi="Times New Roman"/>
          <w:color w:val="auto"/>
          <w:szCs w:val="21"/>
          <w:highlight w:val="none"/>
        </w:rPr>
        <w:t>不包括获得国家和省市各类支持计划所签订的技术合同。</w:t>
      </w:r>
    </w:p>
    <w:p>
      <w:pPr>
        <w:widowControl/>
        <w:spacing w:line="400" w:lineRule="exact"/>
        <w:ind w:firstLine="420" w:firstLineChars="200"/>
        <w:jc w:val="left"/>
        <w:rPr>
          <w:rFonts w:ascii="Times New Roman" w:hAnsi="Times New Roman"/>
          <w:bCs/>
          <w:color w:val="auto"/>
          <w:highlight w:val="none"/>
        </w:rPr>
      </w:pPr>
      <w:r>
        <w:rPr>
          <w:rFonts w:ascii="Times New Roman" w:hAnsi="Times New Roman" w:eastAsia="黑体"/>
          <w:bCs/>
          <w:color w:val="auto"/>
          <w:szCs w:val="21"/>
          <w:highlight w:val="none"/>
        </w:rPr>
        <w:t>从境外引进技术合同数</w:t>
      </w:r>
      <w:r>
        <w:rPr>
          <w:rFonts w:ascii="Times New Roman" w:hAnsi="Times New Roman"/>
          <w:bCs/>
          <w:color w:val="auto"/>
          <w:highlight w:val="none"/>
        </w:rPr>
        <w:t>指报告期内企业在</w:t>
      </w:r>
      <w:r>
        <w:rPr>
          <w:rFonts w:hint="eastAsia" w:ascii="Times New Roman" w:hAnsi="Times New Roman"/>
          <w:bCs/>
          <w:color w:val="auto"/>
          <w:highlight w:val="none"/>
          <w:lang w:eastAsia="zh-CN"/>
        </w:rPr>
        <w:t>工业和信息化部</w:t>
      </w:r>
      <w:r>
        <w:rPr>
          <w:rFonts w:ascii="Times New Roman" w:hAnsi="Times New Roman"/>
          <w:bCs/>
          <w:color w:val="auto"/>
          <w:highlight w:val="none"/>
        </w:rPr>
        <w:t>进行认定登记的境外引进技术合同数量。</w:t>
      </w:r>
    </w:p>
    <w:p>
      <w:pPr>
        <w:widowControl/>
        <w:spacing w:line="400" w:lineRule="exact"/>
        <w:ind w:firstLine="420" w:firstLineChars="200"/>
        <w:jc w:val="left"/>
        <w:rPr>
          <w:rFonts w:ascii="Times New Roman" w:hAnsi="Times New Roman"/>
          <w:bCs/>
          <w:color w:val="auto"/>
          <w:highlight w:val="none"/>
        </w:rPr>
      </w:pPr>
      <w:r>
        <w:rPr>
          <w:rFonts w:ascii="Times New Roman" w:hAnsi="Times New Roman" w:eastAsia="黑体"/>
          <w:bCs/>
          <w:color w:val="auto"/>
          <w:szCs w:val="21"/>
          <w:highlight w:val="none"/>
        </w:rPr>
        <w:t>向境外输出技术合同数</w:t>
      </w:r>
      <w:r>
        <w:rPr>
          <w:rFonts w:ascii="Times New Roman" w:hAnsi="Times New Roman"/>
          <w:bCs/>
          <w:color w:val="auto"/>
          <w:highlight w:val="none"/>
        </w:rPr>
        <w:t>指报告期内企业在</w:t>
      </w:r>
      <w:r>
        <w:rPr>
          <w:rFonts w:hint="eastAsia" w:ascii="Times New Roman" w:hAnsi="Times New Roman"/>
          <w:bCs/>
          <w:color w:val="auto"/>
          <w:highlight w:val="none"/>
          <w:lang w:eastAsia="zh-CN"/>
        </w:rPr>
        <w:t>工业和信息化部</w:t>
      </w:r>
      <w:r>
        <w:rPr>
          <w:rFonts w:ascii="Times New Roman" w:hAnsi="Times New Roman"/>
          <w:bCs/>
          <w:color w:val="auto"/>
          <w:highlight w:val="none"/>
        </w:rPr>
        <w:t>进行认定登记的向境外输出技术合同数量。</w:t>
      </w:r>
    </w:p>
    <w:p>
      <w:pPr>
        <w:widowControl/>
        <w:spacing w:line="400" w:lineRule="exact"/>
        <w:ind w:firstLine="420" w:firstLineChars="200"/>
        <w:jc w:val="left"/>
        <w:rPr>
          <w:rFonts w:ascii="Times New Roman" w:hAnsi="Times New Roman"/>
          <w:bCs/>
          <w:color w:val="auto"/>
          <w:szCs w:val="18"/>
          <w:highlight w:val="none"/>
        </w:rPr>
      </w:pPr>
      <w:r>
        <w:rPr>
          <w:rFonts w:ascii="Times New Roman" w:hAnsi="Times New Roman" w:eastAsia="黑体"/>
          <w:bCs/>
          <w:color w:val="auto"/>
          <w:szCs w:val="21"/>
          <w:highlight w:val="none"/>
        </w:rPr>
        <w:t>认定登记的技术合同成交金额</w:t>
      </w:r>
      <w:r>
        <w:rPr>
          <w:rFonts w:hint="eastAsia" w:ascii="宋体" w:hAnsi="宋体" w:cs="仿宋_GB2312"/>
          <w:bCs/>
          <w:color w:val="auto"/>
          <w:szCs w:val="18"/>
          <w:highlight w:val="none"/>
        </w:rPr>
        <w:t>指报告期内企业作为卖方签订成立的技术合同成交项目的总金额。</w:t>
      </w:r>
    </w:p>
    <w:p>
      <w:pPr>
        <w:widowControl/>
        <w:spacing w:line="400" w:lineRule="exact"/>
        <w:ind w:firstLine="420" w:firstLineChars="200"/>
        <w:jc w:val="left"/>
        <w:rPr>
          <w:rFonts w:ascii="Times New Roman" w:hAnsi="Times New Roman"/>
          <w:bCs/>
          <w:color w:val="auto"/>
          <w:szCs w:val="18"/>
          <w:highlight w:val="none"/>
        </w:rPr>
      </w:pPr>
      <w:r>
        <w:rPr>
          <w:rFonts w:ascii="Times New Roman" w:hAnsi="Times New Roman" w:eastAsia="黑体"/>
          <w:bCs/>
          <w:color w:val="auto"/>
          <w:szCs w:val="21"/>
          <w:highlight w:val="none"/>
        </w:rPr>
        <w:t>从境外引进技术合同成交金额</w:t>
      </w:r>
      <w:r>
        <w:rPr>
          <w:rFonts w:ascii="Times New Roman" w:hAnsi="Times New Roman"/>
          <w:bCs/>
          <w:color w:val="auto"/>
          <w:szCs w:val="18"/>
          <w:highlight w:val="none"/>
        </w:rPr>
        <w:t>指报告期内企业签订成立的境外引进技术合同成交项目的总金额。</w:t>
      </w:r>
    </w:p>
    <w:p>
      <w:pPr>
        <w:widowControl/>
        <w:spacing w:line="400" w:lineRule="exact"/>
        <w:ind w:firstLine="420" w:firstLineChars="200"/>
        <w:jc w:val="left"/>
        <w:rPr>
          <w:rFonts w:ascii="Times New Roman" w:hAnsi="Times New Roman"/>
          <w:bCs/>
          <w:color w:val="auto"/>
          <w:szCs w:val="18"/>
          <w:highlight w:val="none"/>
        </w:rPr>
      </w:pPr>
      <w:r>
        <w:rPr>
          <w:rFonts w:ascii="Times New Roman" w:hAnsi="Times New Roman" w:eastAsia="黑体"/>
          <w:bCs/>
          <w:color w:val="auto"/>
          <w:szCs w:val="21"/>
          <w:highlight w:val="none"/>
        </w:rPr>
        <w:t>向境外输出技术合同成交金额</w:t>
      </w:r>
      <w:r>
        <w:rPr>
          <w:rFonts w:ascii="Times New Roman" w:hAnsi="Times New Roman"/>
          <w:bCs/>
          <w:color w:val="auto"/>
          <w:szCs w:val="18"/>
          <w:highlight w:val="none"/>
        </w:rPr>
        <w:t>指报告期内企业签订成立的向境外输出技术合同成交项目的总金额。</w:t>
      </w:r>
    </w:p>
    <w:p>
      <w:pPr>
        <w:spacing w:line="360" w:lineRule="exact"/>
        <w:ind w:firstLine="420" w:firstLineChars="200"/>
        <w:rPr>
          <w:rFonts w:ascii="宋体" w:cs="宋体"/>
          <w:color w:val="auto"/>
          <w:highlight w:val="none"/>
        </w:rPr>
      </w:pPr>
      <w:r>
        <w:rPr>
          <w:rFonts w:hint="eastAsia" w:ascii="黑体" w:hAnsi="宋体" w:eastAsia="黑体" w:cs="黑体"/>
          <w:color w:val="auto"/>
          <w:highlight w:val="none"/>
        </w:rPr>
        <w:t>技术改造经费支出</w:t>
      </w:r>
      <w:r>
        <w:rPr>
          <w:rFonts w:hint="eastAsia" w:ascii="宋体" w:hAnsi="宋体" w:cs="宋体"/>
          <w:color w:val="auto"/>
          <w:highlight w:val="none"/>
        </w:rPr>
        <w:t>指报告期内企业进行技术改造而发生的费用支出。技术改造指企业在坚持科技进步的前提下，将科技成果应用于生产的各个领域（产品、设备、工艺等），用先进工艺、设备代替落后工艺、设备，实现以内涵为主的扩大再生产，从而提高产品质量、促进产品更新换代、节约能源、降低消耗，全面提高综合经济效益。</w:t>
      </w:r>
    </w:p>
    <w:p>
      <w:pPr>
        <w:spacing w:line="360" w:lineRule="exact"/>
        <w:ind w:firstLine="420" w:firstLineChars="200"/>
        <w:rPr>
          <w:rFonts w:ascii="宋体"/>
          <w:color w:val="auto"/>
          <w:highlight w:val="none"/>
        </w:rPr>
      </w:pPr>
      <w:r>
        <w:rPr>
          <w:rFonts w:hint="eastAsia" w:ascii="黑体" w:hAnsi="宋体" w:eastAsia="黑体" w:cs="黑体"/>
          <w:color w:val="auto"/>
          <w:highlight w:val="none"/>
        </w:rPr>
        <w:t>购买境内技术经费支出</w:t>
      </w:r>
      <w:r>
        <w:rPr>
          <w:rFonts w:hint="eastAsia" w:ascii="宋体" w:hAnsi="宋体" w:cs="宋体"/>
          <w:color w:val="auto"/>
          <w:highlight w:val="none"/>
        </w:rPr>
        <w:t>指报告期内企业购买境内其他单位科技成果的经费支出。包括购买产品设计、工艺流程、图纸、配方、专利、技术诀窍及设备的费用支出。</w:t>
      </w:r>
    </w:p>
    <w:p>
      <w:pPr>
        <w:spacing w:line="360" w:lineRule="exact"/>
        <w:ind w:firstLine="420" w:firstLineChars="200"/>
        <w:rPr>
          <w:rFonts w:ascii="宋体"/>
          <w:color w:val="auto"/>
          <w:spacing w:val="4"/>
          <w:highlight w:val="none"/>
        </w:rPr>
      </w:pPr>
      <w:r>
        <w:rPr>
          <w:rFonts w:hint="eastAsia" w:ascii="黑体" w:hAnsi="宋体" w:eastAsia="黑体" w:cs="黑体"/>
          <w:color w:val="auto"/>
          <w:highlight w:val="none"/>
        </w:rPr>
        <w:t>引进境外技术经费支出</w:t>
      </w:r>
      <w:r>
        <w:rPr>
          <w:rFonts w:hint="eastAsia" w:ascii="宋体" w:hAnsi="宋体" w:cs="宋体"/>
          <w:color w:val="auto"/>
          <w:spacing w:val="4"/>
          <w:highlight w:val="none"/>
        </w:rPr>
        <w:t>指报告期内企业用于购买国外或港澳台技术的费用支出，包括产品设计、工艺流程、图纸、配方、专利等技术资料的费用支出，以及购买设备、仪器、样机和样件等的费用支出。</w:t>
      </w:r>
    </w:p>
    <w:p>
      <w:pPr>
        <w:widowControl/>
        <w:spacing w:line="400" w:lineRule="exact"/>
        <w:ind w:firstLine="420" w:firstLineChars="200"/>
        <w:jc w:val="left"/>
        <w:rPr>
          <w:rFonts w:ascii="Times New Roman" w:hAnsi="Times New Roman"/>
          <w:bCs/>
          <w:color w:val="auto"/>
          <w:szCs w:val="21"/>
          <w:highlight w:val="none"/>
        </w:rPr>
      </w:pPr>
      <w:r>
        <w:rPr>
          <w:rFonts w:hint="eastAsia" w:ascii="黑体" w:hAnsi="宋体" w:eastAsia="黑体" w:cs="黑体"/>
          <w:color w:val="auto"/>
          <w:highlight w:val="none"/>
        </w:rPr>
        <w:t>引进境外技术的消化吸收经费支出</w:t>
      </w:r>
      <w:r>
        <w:rPr>
          <w:rFonts w:hint="eastAsia" w:ascii="宋体" w:hAnsi="宋体" w:cs="宋体"/>
          <w:color w:val="auto"/>
          <w:highlight w:val="none"/>
        </w:rPr>
        <w:t>指报告期内企业引进国外或</w:t>
      </w:r>
      <w:r>
        <w:rPr>
          <w:rFonts w:ascii="宋体" w:hAnsi="宋体" w:cs="宋体"/>
          <w:color w:val="auto"/>
          <w:highlight w:val="none"/>
        </w:rPr>
        <w:t>港澳台</w:t>
      </w:r>
      <w:r>
        <w:rPr>
          <w:rFonts w:hint="eastAsia" w:ascii="宋体" w:hAnsi="宋体" w:cs="宋体"/>
          <w:color w:val="auto"/>
          <w:highlight w:val="none"/>
        </w:rPr>
        <w:t>技术的消化吸收经费支出。引进技术的消化吸收指对引进技术的掌握、应用、复制</w:t>
      </w:r>
      <w:r>
        <w:rPr>
          <w:rFonts w:hint="eastAsia" w:ascii="宋体" w:hAnsi="宋体" w:cs="宋体"/>
          <w:color w:val="auto"/>
          <w:spacing w:val="2"/>
          <w:highlight w:val="none"/>
        </w:rPr>
        <w:t>而开展的工作，以及在此基础上的创新。引进技术的消化吸收经费支出包括：人员培训费、</w:t>
      </w:r>
      <w:r>
        <w:rPr>
          <w:rFonts w:hint="eastAsia" w:ascii="宋体" w:hAnsi="宋体" w:cs="宋体"/>
          <w:color w:val="auto"/>
          <w:highlight w:val="none"/>
        </w:rPr>
        <w:t>测绘费、参加消化吸收人员的工资、工装、工艺开发费、必备的配套设备费、翻版费等。</w:t>
      </w:r>
    </w:p>
    <w:p>
      <w:pPr>
        <w:widowControl/>
        <w:spacing w:line="400" w:lineRule="exact"/>
        <w:ind w:firstLine="420" w:firstLineChars="200"/>
        <w:jc w:val="left"/>
        <w:rPr>
          <w:rFonts w:ascii="Times New Roman" w:hAnsi="Times New Roman"/>
          <w:bCs/>
          <w:color w:val="auto"/>
          <w:sz w:val="24"/>
          <w:szCs w:val="24"/>
          <w:highlight w:val="none"/>
        </w:rPr>
      </w:pPr>
      <w:r>
        <w:rPr>
          <w:rFonts w:ascii="Times New Roman" w:hAnsi="Times New Roman" w:eastAsia="黑体"/>
          <w:bCs/>
          <w:color w:val="auto"/>
          <w:szCs w:val="21"/>
          <w:highlight w:val="none"/>
        </w:rPr>
        <w:t>期末企业在境外设立的营销服务机构数</w:t>
      </w:r>
      <w:r>
        <w:rPr>
          <w:rFonts w:ascii="Times New Roman" w:hAnsi="Times New Roman"/>
          <w:bCs/>
          <w:color w:val="auto"/>
          <w:szCs w:val="21"/>
          <w:highlight w:val="none"/>
        </w:rPr>
        <w:t>指报告期末企业在国外或港澳台自办（或与外单位合办）的专门负责营销及服务的机构数量。与外单位合办的营销服务机构若主要由本企业出资兴办，则由本企业统计，否则应由合办方统计。</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期末企业在境外设立的研究开发机构数</w:t>
      </w:r>
      <w:r>
        <w:rPr>
          <w:rFonts w:ascii="Times New Roman" w:hAnsi="Times New Roman"/>
          <w:bCs/>
          <w:color w:val="auto"/>
          <w:szCs w:val="21"/>
          <w:highlight w:val="none"/>
        </w:rPr>
        <w:t>指报告期末企业在国外或港澳台自办（或与外单位合办）的专门研究开发机构。与外单位合办的研究开发机构若主要由本企业出资兴办，则由本企业统计，否则应由合办方统计。</w:t>
      </w:r>
    </w:p>
    <w:p>
      <w:pPr>
        <w:widowControl/>
        <w:spacing w:line="400" w:lineRule="exact"/>
        <w:ind w:firstLine="420" w:firstLineChars="200"/>
        <w:jc w:val="left"/>
        <w:rPr>
          <w:rFonts w:ascii="Times New Roman" w:hAnsi="Times New Roman"/>
          <w:bCs/>
          <w:color w:val="auto"/>
          <w:szCs w:val="21"/>
          <w:highlight w:val="none"/>
        </w:rPr>
      </w:pPr>
      <w:r>
        <w:rPr>
          <w:rFonts w:ascii="Times New Roman" w:hAnsi="Times New Roman" w:eastAsia="黑体"/>
          <w:bCs/>
          <w:color w:val="auto"/>
          <w:szCs w:val="21"/>
          <w:highlight w:val="none"/>
        </w:rPr>
        <w:t>期末企业在境外设立的生产制造基地数</w:t>
      </w:r>
      <w:r>
        <w:rPr>
          <w:rFonts w:ascii="Times New Roman" w:hAnsi="Times New Roman"/>
          <w:bCs/>
          <w:color w:val="auto"/>
          <w:szCs w:val="21"/>
          <w:highlight w:val="none"/>
        </w:rPr>
        <w:t>指报告期末企业在国外或港澳台自办（或与外单位合办）的生产制造基地数。与外单位合办的生产制造基地若主要由本企业出资兴办，则由本企业统计，否则应由合办方统计。</w:t>
      </w:r>
    </w:p>
    <w:p>
      <w:pPr>
        <w:widowControl/>
        <w:spacing w:line="400" w:lineRule="exact"/>
        <w:ind w:firstLine="420" w:firstLineChars="200"/>
        <w:jc w:val="left"/>
        <w:rPr>
          <w:rFonts w:ascii="Times New Roman" w:hAnsi="Times New Roman"/>
          <w:bCs/>
          <w:color w:val="auto"/>
          <w:highlight w:val="none"/>
        </w:rPr>
      </w:pPr>
      <w:r>
        <w:rPr>
          <w:rFonts w:ascii="Times New Roman" w:hAnsi="Times New Roman" w:eastAsia="黑体"/>
          <w:bCs/>
          <w:color w:val="auto"/>
          <w:szCs w:val="21"/>
          <w:highlight w:val="none"/>
        </w:rPr>
        <w:t>当年在境外设立分支机构数量</w:t>
      </w:r>
      <w:r>
        <w:rPr>
          <w:rFonts w:ascii="Times New Roman" w:hAnsi="Times New Roman"/>
          <w:bCs/>
          <w:color w:val="auto"/>
          <w:szCs w:val="21"/>
          <w:highlight w:val="none"/>
        </w:rPr>
        <w:t>指报告期当年企业在国外或港澳台自办（或与外单位合办）的营销服务机构、研究开发机构和生产制造基地的总数。与外单位合办的若主要由本企业出资兴办，则由本企业统计，否则应由合办方统计。</w:t>
      </w:r>
    </w:p>
    <w:p>
      <w:pPr>
        <w:rPr>
          <w:color w:val="auto"/>
          <w:highlight w:val="none"/>
        </w:rPr>
      </w:pPr>
    </w:p>
    <w:p>
      <w:pPr>
        <w:tabs>
          <w:tab w:val="left" w:pos="645"/>
        </w:tabs>
        <w:jc w:val="left"/>
        <w:outlineLvl w:val="9"/>
        <w:rPr>
          <w:color w:val="auto"/>
          <w:highlight w:val="none"/>
        </w:rPr>
      </w:pPr>
      <w:bookmarkStart w:id="41" w:name="_Toc530752901"/>
      <w:bookmarkStart w:id="42" w:name="_Toc525748073"/>
    </w:p>
    <w:bookmarkEnd w:id="41"/>
    <w:bookmarkEnd w:id="42"/>
    <w:p>
      <w:pPr>
        <w:pStyle w:val="8"/>
        <w:ind w:left="0" w:leftChars="0" w:firstLine="0" w:firstLineChars="0"/>
        <w:rPr>
          <w:rFonts w:hint="default"/>
          <w:color w:val="auto"/>
          <w:highlight w:val="none"/>
        </w:rPr>
      </w:pPr>
    </w:p>
    <w:p/>
    <w:sectPr>
      <w:headerReference r:id="rId9" w:type="default"/>
      <w:footerReference r:id="rId10" w:type="default"/>
      <w:pgSz w:w="11906" w:h="16838"/>
      <w:pgMar w:top="1417" w:right="1247" w:bottom="1247" w:left="1247" w:header="851" w:footer="73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Nimbus Roman No9 L">
    <w:altName w:val="微软雅黑"/>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eastAsia="仿宋"/>
        <w:sz w:val="21"/>
        <w:szCs w:val="21"/>
        <w:lang w:val="en-US" w:eastAsia="zh-CN"/>
      </w:rPr>
    </w:pPr>
    <w:r>
      <w:rPr>
        <w:rFonts w:hint="eastAsia"/>
        <w:sz w:val="21"/>
        <w:szCs w:val="21"/>
        <w:lang w:val="en-US" w:eastAsia="zh-CN"/>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eastAsia="仿宋"/>
        <w:sz w:val="21"/>
        <w:szCs w:val="21"/>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z w:val="21"/>
        <w:szCs w:val="21"/>
        <w:lang w:val="en-US" w:eastAsia="zh-CN"/>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sz w:val="21"/>
        <w:szCs w:val="21"/>
        <w:lang w:eastAsia="zh-CN"/>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sz w:val="21"/>
        <w:szCs w:val="21"/>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44505E"/>
    <w:multiLevelType w:val="singleLevel"/>
    <w:tmpl w:val="AC44505E"/>
    <w:lvl w:ilvl="0" w:tentative="0">
      <w:start w:val="1"/>
      <w:numFmt w:val="chineseCounting"/>
      <w:suff w:val="nothing"/>
      <w:lvlText w:val="%1、"/>
      <w:lvlJc w:val="left"/>
      <w:rPr>
        <w:rFonts w:hint="eastAsia"/>
      </w:rPr>
    </w:lvl>
  </w:abstractNum>
  <w:abstractNum w:abstractNumId="1">
    <w:nsid w:val="D0CB179A"/>
    <w:multiLevelType w:val="singleLevel"/>
    <w:tmpl w:val="D0CB179A"/>
    <w:lvl w:ilvl="0" w:tentative="0">
      <w:start w:val="3"/>
      <w:numFmt w:val="chineseCounting"/>
      <w:suff w:val="nothing"/>
      <w:lvlText w:val="%1、"/>
      <w:lvlJc w:val="left"/>
      <w:rPr>
        <w:rFonts w:hint="eastAsia"/>
      </w:rPr>
    </w:lvl>
  </w:abstractNum>
  <w:abstractNum w:abstractNumId="2">
    <w:nsid w:val="3E9909B0"/>
    <w:multiLevelType w:val="singleLevel"/>
    <w:tmpl w:val="3E9909B0"/>
    <w:lvl w:ilvl="0" w:tentative="0">
      <w:start w:val="1"/>
      <w:numFmt w:val="chineseCounting"/>
      <w:suff w:val="nothing"/>
      <w:lvlText w:val="%1、"/>
      <w:lvlJc w:val="left"/>
      <w:rPr>
        <w:rFonts w:hint="eastAsia"/>
      </w:rPr>
    </w:lvl>
  </w:abstractNum>
  <w:abstractNum w:abstractNumId="3">
    <w:nsid w:val="784A3E2E"/>
    <w:multiLevelType w:val="singleLevel"/>
    <w:tmpl w:val="784A3E2E"/>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jZDJkZGFhN2VlZDdmZDY5OWVlZDliODdjNzk2ZTYifQ=="/>
    <w:docVar w:name="KSO_WPS_MARK_KEY" w:val="2afd2672-572d-4aed-93fd-9e0cd60ec817"/>
  </w:docVars>
  <w:rsids>
    <w:rsidRoot w:val="712B09A3"/>
    <w:rsid w:val="01976257"/>
    <w:rsid w:val="08F33889"/>
    <w:rsid w:val="123562DA"/>
    <w:rsid w:val="14E1284D"/>
    <w:rsid w:val="19150E2B"/>
    <w:rsid w:val="1B4E4307"/>
    <w:rsid w:val="1BE555E8"/>
    <w:rsid w:val="1E991A5C"/>
    <w:rsid w:val="29463781"/>
    <w:rsid w:val="34587EBE"/>
    <w:rsid w:val="3AB940DA"/>
    <w:rsid w:val="3F190FA7"/>
    <w:rsid w:val="4F9A7540"/>
    <w:rsid w:val="5B604613"/>
    <w:rsid w:val="639D51B1"/>
    <w:rsid w:val="65B32E42"/>
    <w:rsid w:val="667616A1"/>
    <w:rsid w:val="689A2A1B"/>
    <w:rsid w:val="712B09A3"/>
    <w:rsid w:val="76FE2A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21"/>
      <w:szCs w:val="22"/>
      <w:lang w:val="en-US" w:eastAsia="zh-CN" w:bidi="ar-SA"/>
    </w:rPr>
  </w:style>
  <w:style w:type="paragraph" w:styleId="3">
    <w:name w:val="heading 3"/>
    <w:basedOn w:val="1"/>
    <w:next w:val="1"/>
    <w:qFormat/>
    <w:uiPriority w:val="0"/>
    <w:pPr>
      <w:keepNext/>
      <w:keepLines/>
      <w:spacing w:line="413" w:lineRule="auto"/>
      <w:jc w:val="center"/>
      <w:outlineLvl w:val="2"/>
    </w:pPr>
    <w:rPr>
      <w:rFonts w:ascii="宋体" w:hAnsi="宋体"/>
      <w:b/>
      <w:bCs/>
      <w:kern w:val="0"/>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4">
    <w:name w:val="annotation text"/>
    <w:basedOn w:val="1"/>
    <w:uiPriority w:val="0"/>
    <w:pPr>
      <w:jc w:val="left"/>
    </w:pPr>
  </w:style>
  <w:style w:type="paragraph" w:styleId="5">
    <w:name w:val="Body Text Indent"/>
    <w:basedOn w:val="1"/>
    <w:next w:val="1"/>
    <w:qFormat/>
    <w:uiPriority w:val="0"/>
    <w:pPr>
      <w:spacing w:after="120"/>
      <w:ind w:left="420" w:leftChars="200"/>
    </w:pPr>
    <w:rPr>
      <w:kern w:val="0"/>
      <w:sz w:val="20"/>
      <w:szCs w:val="24"/>
    </w:rPr>
  </w:style>
  <w:style w:type="paragraph" w:styleId="6">
    <w:name w:val="footer"/>
    <w:basedOn w:val="1"/>
    <w:qFormat/>
    <w:uiPriority w:val="99"/>
    <w:pPr>
      <w:tabs>
        <w:tab w:val="center" w:pos="4153"/>
        <w:tab w:val="right" w:pos="8306"/>
      </w:tabs>
      <w:snapToGrid w:val="0"/>
      <w:jc w:val="left"/>
    </w:pPr>
    <w:rPr>
      <w:kern w:val="0"/>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8">
    <w:name w:val="Body Text First Indent 2"/>
    <w:basedOn w:val="5"/>
    <w:next w:val="1"/>
    <w:qFormat/>
    <w:uiPriority w:val="0"/>
    <w:pPr>
      <w:widowControl w:val="0"/>
      <w:spacing w:after="120" w:afterLines="0"/>
      <w:ind w:left="200" w:leftChars="200" w:firstLine="200" w:firstLineChars="200"/>
      <w:jc w:val="both"/>
    </w:pPr>
    <w:rPr>
      <w:rFonts w:ascii="Calibri" w:hAnsi="Calibri"/>
      <w:kern w:val="2"/>
      <w:sz w:val="21"/>
      <w:szCs w:val="24"/>
      <w:lang w:val="en-US" w:eastAsia="zh-CN" w:bidi="ar-SA"/>
    </w:rPr>
  </w:style>
  <w:style w:type="character" w:styleId="11">
    <w:name w:val="Strong"/>
    <w:basedOn w:val="10"/>
    <w:qFormat/>
    <w:uiPriority w:val="0"/>
    <w:rPr>
      <w:b/>
    </w:rPr>
  </w:style>
  <w:style w:type="character" w:styleId="12">
    <w:name w:val="Hyperlink"/>
    <w:basedOn w:val="10"/>
    <w:qFormat/>
    <w:uiPriority w:val="99"/>
    <w:rPr>
      <w:color w:val="0000FF"/>
      <w:u w:val="single"/>
    </w:rPr>
  </w:style>
  <w:style w:type="paragraph" w:customStyle="1" w:styleId="13">
    <w:name w:val="Table Paragraph"/>
    <w:basedOn w:val="1"/>
    <w:qFormat/>
    <w:uiPriority w:val="0"/>
    <w:pPr>
      <w:autoSpaceDE w:val="0"/>
      <w:autoSpaceDN w:val="0"/>
      <w:adjustRightInd w:val="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44047</Words>
  <Characters>47551</Characters>
  <Lines>0</Lines>
  <Paragraphs>0</Paragraphs>
  <TotalTime>10</TotalTime>
  <ScaleCrop>false</ScaleCrop>
  <LinksUpToDate>false</LinksUpToDate>
  <CharactersWithSpaces>48344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2025-02-07T06:56:00Z</dcterms:created>
  <dc:creator>马克图布</dc:creator>
  <cp:lastModifiedBy>马克图布</cp:lastModifiedBy>
  <dcterms:modified xsi:type="dcterms:W3CDTF">2025-02-27T01:03:00Z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DC83AC6033DF4A2D92C6F77E33EBF883_13</vt:lpwstr>
  </property>
</Properties>
</file>